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333F4" w14:textId="77777777" w:rsidR="00B14201" w:rsidRDefault="0052628B">
      <w:r>
        <w:softHyphen/>
      </w:r>
      <w:r>
        <w:softHyphen/>
      </w:r>
      <w:r>
        <w:softHyphen/>
      </w:r>
    </w:p>
    <w:p w14:paraId="522333F5" w14:textId="77777777" w:rsidR="00B14201" w:rsidRDefault="00B14201"/>
    <w:p w14:paraId="522333F6" w14:textId="77777777" w:rsidR="00B14201" w:rsidRDefault="00B14201"/>
    <w:p w14:paraId="522333F7" w14:textId="77777777" w:rsidR="00B14201" w:rsidRDefault="00B14201"/>
    <w:p w14:paraId="522333F8" w14:textId="77777777" w:rsidR="003667B1" w:rsidRDefault="003667B1" w:rsidP="003667B1">
      <w:pPr>
        <w:rPr>
          <w:color w:val="000000"/>
          <w:sz w:val="52"/>
          <w:szCs w:val="52"/>
        </w:rPr>
      </w:pPr>
      <w:r>
        <w:rPr>
          <w:b/>
          <w:color w:val="000000"/>
          <w:sz w:val="52"/>
          <w:szCs w:val="52"/>
        </w:rPr>
        <w:t>Catch22 Independent Schools Policy</w:t>
      </w:r>
    </w:p>
    <w:p w14:paraId="522333F9" w14:textId="77777777" w:rsidR="00B14201" w:rsidRDefault="0052628B">
      <w:pPr>
        <w:pBdr>
          <w:bottom w:val="single" w:sz="12" w:space="1" w:color="auto"/>
        </w:pBdr>
        <w:spacing w:line="276" w:lineRule="auto"/>
        <w:rPr>
          <w:rFonts w:eastAsia="Times New Roman" w:cstheme="minorHAnsi"/>
          <w:color w:val="000000"/>
          <w:sz w:val="36"/>
          <w:szCs w:val="36"/>
          <w:lang w:eastAsia="en-GB"/>
        </w:rPr>
      </w:pPr>
      <w:r>
        <w:rPr>
          <w:rFonts w:eastAsia="Times New Roman" w:cstheme="minorHAnsi"/>
          <w:color w:val="000000"/>
          <w:sz w:val="36"/>
          <w:szCs w:val="36"/>
          <w:lang w:eastAsia="en-GB"/>
        </w:rPr>
        <w:t xml:space="preserve">Exams Access Arrangement Policy   </w:t>
      </w:r>
    </w:p>
    <w:p w14:paraId="522333FA" w14:textId="7C5CD01D" w:rsidR="00543072" w:rsidRPr="00543072" w:rsidRDefault="00543072" w:rsidP="00543072">
      <w:pPr>
        <w:rPr>
          <w:rFonts w:ascii="Segoe UI" w:eastAsia="Times New Roman" w:hAnsi="Segoe UI" w:cs="Segoe UI"/>
          <w:sz w:val="40"/>
          <w:szCs w:val="40"/>
          <w:lang w:eastAsia="en-GB"/>
        </w:rPr>
      </w:pPr>
      <w:r w:rsidRPr="00543072">
        <w:rPr>
          <w:rFonts w:ascii="Segoe UI" w:eastAsia="Times New Roman" w:hAnsi="Segoe UI" w:cs="Segoe UI"/>
          <w:sz w:val="40"/>
          <w:szCs w:val="40"/>
          <w:lang w:eastAsia="en-GB"/>
        </w:rPr>
        <w:t xml:space="preserve">Catch22 Include </w:t>
      </w:r>
      <w:r w:rsidR="00C408C1">
        <w:rPr>
          <w:rFonts w:ascii="Segoe UI" w:eastAsia="Times New Roman" w:hAnsi="Segoe UI" w:cs="Segoe UI"/>
          <w:sz w:val="40"/>
          <w:szCs w:val="40"/>
          <w:lang w:eastAsia="en-GB"/>
        </w:rPr>
        <w:t>London</w:t>
      </w:r>
      <w:r w:rsidRPr="00543072">
        <w:rPr>
          <w:rFonts w:ascii="Segoe UI" w:eastAsia="Times New Roman" w:hAnsi="Segoe UI" w:cs="Segoe UI"/>
          <w:sz w:val="40"/>
          <w:szCs w:val="40"/>
          <w:lang w:eastAsia="en-GB"/>
        </w:rPr>
        <w:t xml:space="preserve"> School</w:t>
      </w:r>
    </w:p>
    <w:p w14:paraId="522333FB" w14:textId="77777777" w:rsidR="00B14201" w:rsidRDefault="0052628B">
      <w:pPr>
        <w:spacing w:line="360" w:lineRule="auto"/>
        <w:rPr>
          <w:b/>
          <w:color w:val="000000"/>
          <w:sz w:val="20"/>
          <w:szCs w:val="20"/>
        </w:rPr>
      </w:pPr>
      <w:r>
        <w:rPr>
          <w:b/>
          <w:color w:val="000000"/>
          <w:sz w:val="20"/>
          <w:szCs w:val="20"/>
        </w:rPr>
        <w:t>Contents</w:t>
      </w:r>
    </w:p>
    <w:p w14:paraId="522333FC" w14:textId="77777777" w:rsidR="00B14201" w:rsidRDefault="0052628B">
      <w:pPr>
        <w:rPr>
          <w:color w:val="000000"/>
          <w:sz w:val="20"/>
          <w:szCs w:val="20"/>
        </w:rPr>
      </w:pPr>
      <w:r>
        <w:rPr>
          <w:color w:val="000000"/>
          <w:sz w:val="20"/>
          <w:szCs w:val="20"/>
        </w:rPr>
        <w:t>What are access arrangements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r>
        <w:rPr>
          <w:color w:val="000000"/>
          <w:sz w:val="20"/>
          <w:szCs w:val="20"/>
        </w:rPr>
        <w:br/>
        <w:t>Access arrangements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522333FD" w14:textId="77777777" w:rsidR="00B14201" w:rsidRDefault="0052628B">
      <w:pPr>
        <w:rPr>
          <w:color w:val="000000"/>
          <w:sz w:val="20"/>
          <w:szCs w:val="20"/>
        </w:rPr>
      </w:pPr>
      <w:r>
        <w:rPr>
          <w:color w:val="000000"/>
          <w:sz w:val="20"/>
          <w:szCs w:val="20"/>
        </w:rPr>
        <w:t>Reasonable adjustments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p>
    <w:p w14:paraId="522333FE" w14:textId="77777777" w:rsidR="00B14201" w:rsidRDefault="0052628B">
      <w:pPr>
        <w:rPr>
          <w:color w:val="000000"/>
          <w:sz w:val="20"/>
          <w:szCs w:val="20"/>
        </w:rPr>
      </w:pPr>
      <w:r>
        <w:rPr>
          <w:color w:val="000000"/>
          <w:sz w:val="20"/>
          <w:szCs w:val="20"/>
        </w:rPr>
        <w:t>Purpose of the policy</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3</w:t>
      </w:r>
      <w:r>
        <w:rPr>
          <w:color w:val="000000"/>
          <w:sz w:val="20"/>
          <w:szCs w:val="20"/>
        </w:rPr>
        <w:tab/>
      </w:r>
    </w:p>
    <w:p w14:paraId="522333FF" w14:textId="77777777" w:rsidR="00B14201" w:rsidRDefault="0052628B">
      <w:pPr>
        <w:rPr>
          <w:color w:val="000000"/>
          <w:sz w:val="20"/>
          <w:szCs w:val="20"/>
        </w:rPr>
      </w:pPr>
      <w:r>
        <w:rPr>
          <w:color w:val="000000"/>
          <w:sz w:val="20"/>
          <w:szCs w:val="20"/>
        </w:rPr>
        <w:t>General Principles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r>
        <w:rPr>
          <w:color w:val="000000"/>
          <w:sz w:val="20"/>
          <w:szCs w:val="20"/>
        </w:rPr>
        <w:tab/>
      </w:r>
    </w:p>
    <w:p w14:paraId="52233400" w14:textId="77777777" w:rsidR="00B14201" w:rsidRDefault="0052628B">
      <w:pPr>
        <w:rPr>
          <w:color w:val="000000"/>
          <w:sz w:val="20"/>
          <w:szCs w:val="20"/>
        </w:rPr>
      </w:pPr>
      <w:r>
        <w:rPr>
          <w:color w:val="000000"/>
          <w:sz w:val="20"/>
          <w:szCs w:val="20"/>
        </w:rPr>
        <w:t>Equalities policy</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r>
        <w:rPr>
          <w:color w:val="000000"/>
          <w:sz w:val="20"/>
          <w:szCs w:val="20"/>
        </w:rPr>
        <w:tab/>
      </w:r>
    </w:p>
    <w:p w14:paraId="52233401" w14:textId="77777777" w:rsidR="00B14201" w:rsidRDefault="0052628B">
      <w:pPr>
        <w:rPr>
          <w:color w:val="000000"/>
          <w:sz w:val="20"/>
          <w:szCs w:val="20"/>
        </w:rPr>
      </w:pPr>
      <w:r>
        <w:rPr>
          <w:color w:val="000000"/>
          <w:sz w:val="20"/>
          <w:szCs w:val="20"/>
        </w:rPr>
        <w:t>The assessment process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p>
    <w:p w14:paraId="52233402" w14:textId="77777777" w:rsidR="00B14201" w:rsidRDefault="0052628B">
      <w:pPr>
        <w:rPr>
          <w:rFonts w:cstheme="minorHAnsi"/>
          <w:noProof/>
          <w:sz w:val="20"/>
          <w:szCs w:val="20"/>
        </w:rPr>
      </w:pPr>
      <w:r>
        <w:rPr>
          <w:color w:val="000000"/>
          <w:sz w:val="20"/>
          <w:szCs w:val="20"/>
        </w:rPr>
        <w:t>The qualification(s) of the current assessor(s)</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4</w:t>
      </w:r>
      <w:r>
        <w:rPr>
          <w:rFonts w:cstheme="minorHAnsi"/>
          <w:sz w:val="20"/>
          <w:szCs w:val="20"/>
          <w:u w:val="single"/>
          <w:lang w:eastAsia="en-GB"/>
        </w:rPr>
        <w:br/>
      </w:r>
      <w:r>
        <w:rPr>
          <w:rFonts w:cstheme="minorHAnsi"/>
          <w:noProof/>
          <w:sz w:val="20"/>
          <w:szCs w:val="20"/>
        </w:rPr>
        <w:t xml:space="preserve">Appointment of assessors of candidates with learning difficulties </w:t>
      </w:r>
      <w:r>
        <w:rPr>
          <w:rFonts w:cstheme="minorHAnsi"/>
          <w:noProof/>
          <w:sz w:val="20"/>
          <w:szCs w:val="20"/>
        </w:rPr>
        <w:tab/>
      </w:r>
      <w:r>
        <w:rPr>
          <w:rFonts w:cstheme="minorHAnsi"/>
          <w:noProof/>
          <w:sz w:val="20"/>
          <w:szCs w:val="20"/>
        </w:rPr>
        <w:tab/>
      </w:r>
      <w:r>
        <w:rPr>
          <w:rFonts w:cstheme="minorHAnsi"/>
          <w:noProof/>
          <w:sz w:val="20"/>
          <w:szCs w:val="20"/>
        </w:rPr>
        <w:tab/>
        <w:t>4</w:t>
      </w:r>
    </w:p>
    <w:p w14:paraId="52233403" w14:textId="77777777" w:rsidR="00B14201" w:rsidRDefault="0052628B">
      <w:pPr>
        <w:rPr>
          <w:rFonts w:cstheme="minorHAnsi"/>
          <w:noProof/>
          <w:sz w:val="20"/>
          <w:szCs w:val="20"/>
        </w:rPr>
      </w:pPr>
      <w:r>
        <w:rPr>
          <w:rFonts w:cstheme="minorHAnsi"/>
          <w:noProof/>
          <w:sz w:val="20"/>
          <w:szCs w:val="20"/>
        </w:rPr>
        <w:t xml:space="preserve">Process for the assessment of a candidate’s learning difficulties by an assessor </w:t>
      </w:r>
      <w:r>
        <w:rPr>
          <w:rFonts w:cstheme="minorHAnsi"/>
          <w:noProof/>
          <w:sz w:val="20"/>
          <w:szCs w:val="20"/>
        </w:rPr>
        <w:tab/>
      </w:r>
      <w:r>
        <w:rPr>
          <w:rFonts w:cstheme="minorHAnsi"/>
          <w:noProof/>
          <w:sz w:val="20"/>
          <w:szCs w:val="20"/>
        </w:rPr>
        <w:tab/>
        <w:t>5</w:t>
      </w:r>
    </w:p>
    <w:p w14:paraId="52233404" w14:textId="77777777" w:rsidR="00B14201" w:rsidRDefault="0052628B">
      <w:pPr>
        <w:rPr>
          <w:rFonts w:cstheme="minorHAnsi"/>
          <w:noProof/>
          <w:sz w:val="20"/>
          <w:szCs w:val="20"/>
        </w:rPr>
      </w:pPr>
      <w:r>
        <w:rPr>
          <w:rFonts w:cstheme="minorHAnsi"/>
          <w:noProof/>
          <w:sz w:val="20"/>
          <w:szCs w:val="20"/>
        </w:rPr>
        <w:t>Painting a picture of need and gathering evidence to demonstrate normal way</w:t>
      </w:r>
    </w:p>
    <w:p w14:paraId="52233405" w14:textId="77777777" w:rsidR="00B14201" w:rsidRDefault="0052628B">
      <w:pPr>
        <w:rPr>
          <w:rFonts w:cstheme="minorHAnsi"/>
          <w:noProof/>
          <w:sz w:val="20"/>
          <w:szCs w:val="20"/>
        </w:rPr>
      </w:pPr>
      <w:r>
        <w:rPr>
          <w:rFonts w:cstheme="minorHAnsi"/>
          <w:noProof/>
          <w:sz w:val="20"/>
          <w:szCs w:val="20"/>
        </w:rPr>
        <w:t>of working</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 xml:space="preserve">5 </w:t>
      </w:r>
    </w:p>
    <w:p w14:paraId="52233406" w14:textId="77777777" w:rsidR="00B14201" w:rsidRDefault="0052628B">
      <w:pPr>
        <w:rPr>
          <w:rFonts w:cstheme="minorHAnsi"/>
          <w:noProof/>
          <w:sz w:val="20"/>
          <w:szCs w:val="20"/>
        </w:rPr>
      </w:pPr>
      <w:r>
        <w:rPr>
          <w:rFonts w:cstheme="minorHAnsi"/>
          <w:noProof/>
          <w:sz w:val="20"/>
          <w:szCs w:val="20"/>
        </w:rPr>
        <w:t>Processing acccess arrangements</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6</w:t>
      </w:r>
    </w:p>
    <w:p w14:paraId="52233407" w14:textId="77777777" w:rsidR="00B14201" w:rsidRDefault="0052628B">
      <w:pPr>
        <w:rPr>
          <w:rFonts w:cstheme="minorHAnsi"/>
          <w:noProof/>
          <w:sz w:val="20"/>
          <w:szCs w:val="20"/>
        </w:rPr>
      </w:pPr>
      <w:r>
        <w:rPr>
          <w:rFonts w:cstheme="minorHAnsi"/>
          <w:noProof/>
          <w:sz w:val="20"/>
          <w:szCs w:val="20"/>
        </w:rPr>
        <w:t>Arrangtements requiring awarding body approval</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6</w:t>
      </w:r>
    </w:p>
    <w:p w14:paraId="52233408" w14:textId="77777777" w:rsidR="00B14201" w:rsidRDefault="0052628B">
      <w:pPr>
        <w:rPr>
          <w:rFonts w:cstheme="minorHAnsi"/>
          <w:noProof/>
          <w:sz w:val="20"/>
          <w:szCs w:val="20"/>
        </w:rPr>
      </w:pPr>
      <w:r>
        <w:rPr>
          <w:rFonts w:cstheme="minorHAnsi"/>
          <w:noProof/>
          <w:sz w:val="20"/>
          <w:szCs w:val="20"/>
        </w:rPr>
        <w:t xml:space="preserve">Centre delegated access arrangements </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6</w:t>
      </w:r>
    </w:p>
    <w:p w14:paraId="52233409" w14:textId="77777777" w:rsidR="00B14201" w:rsidRDefault="0052628B">
      <w:pPr>
        <w:rPr>
          <w:rFonts w:cstheme="minorHAnsi"/>
          <w:noProof/>
          <w:sz w:val="20"/>
          <w:szCs w:val="20"/>
        </w:rPr>
      </w:pPr>
      <w:r>
        <w:rPr>
          <w:rFonts w:cstheme="minorHAnsi"/>
          <w:noProof/>
          <w:sz w:val="20"/>
          <w:szCs w:val="20"/>
        </w:rPr>
        <w:t>Centre-specific criteria for particular access arrangements</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6</w:t>
      </w:r>
    </w:p>
    <w:p w14:paraId="5223340A" w14:textId="77777777" w:rsidR="00B14201" w:rsidRDefault="0052628B">
      <w:pPr>
        <w:rPr>
          <w:rFonts w:cstheme="minorHAnsi"/>
          <w:noProof/>
          <w:sz w:val="20"/>
          <w:szCs w:val="20"/>
        </w:rPr>
      </w:pPr>
      <w:r>
        <w:rPr>
          <w:rFonts w:cstheme="minorHAnsi"/>
          <w:noProof/>
          <w:sz w:val="20"/>
          <w:szCs w:val="20"/>
        </w:rPr>
        <w:t>Word processor policy (exams)</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6</w:t>
      </w:r>
    </w:p>
    <w:p w14:paraId="5223340B" w14:textId="77777777" w:rsidR="00B14201" w:rsidRDefault="0052628B">
      <w:pPr>
        <w:rPr>
          <w:rFonts w:cstheme="minorHAnsi"/>
          <w:noProof/>
          <w:sz w:val="20"/>
          <w:szCs w:val="20"/>
        </w:rPr>
      </w:pPr>
      <w:r>
        <w:rPr>
          <w:rFonts w:cstheme="minorHAnsi"/>
          <w:noProof/>
          <w:sz w:val="20"/>
          <w:szCs w:val="20"/>
        </w:rPr>
        <w:t>Separate invigilation within the centre</w:t>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r>
      <w:r>
        <w:rPr>
          <w:rFonts w:cstheme="minorHAnsi"/>
          <w:noProof/>
          <w:sz w:val="20"/>
          <w:szCs w:val="20"/>
        </w:rPr>
        <w:tab/>
        <w:t>7</w:t>
      </w:r>
    </w:p>
    <w:p w14:paraId="5223340C" w14:textId="77777777" w:rsidR="00B14201" w:rsidRDefault="0052628B">
      <w:pPr>
        <w:rPr>
          <w:rFonts w:cstheme="minorHAnsi"/>
          <w:noProof/>
          <w:sz w:val="20"/>
          <w:szCs w:val="20"/>
        </w:rPr>
      </w:pPr>
      <w:r>
        <w:rPr>
          <w:rFonts w:cstheme="minorHAnsi"/>
          <w:noProof/>
          <w:sz w:val="20"/>
          <w:szCs w:val="20"/>
        </w:rPr>
        <w:t>Appendices</w:t>
      </w:r>
    </w:p>
    <w:p w14:paraId="5223340D" w14:textId="77777777" w:rsidR="00B14201" w:rsidRDefault="00B14201">
      <w:pPr>
        <w:rPr>
          <w:rFonts w:eastAsia="Times New Roman" w:cstheme="minorHAnsi"/>
          <w:color w:val="000000"/>
          <w:sz w:val="20"/>
          <w:szCs w:val="20"/>
          <w:lang w:eastAsia="en-GB"/>
        </w:rPr>
      </w:pPr>
    </w:p>
    <w:p w14:paraId="5223340E" w14:textId="77777777" w:rsidR="00B14201" w:rsidRDefault="0052628B">
      <w:pPr>
        <w:spacing w:line="360" w:lineRule="auto"/>
        <w:rPr>
          <w:rFonts w:cstheme="minorHAnsi"/>
          <w:color w:val="000000"/>
          <w:sz w:val="22"/>
          <w:szCs w:val="22"/>
        </w:rPr>
      </w:pPr>
      <w:r>
        <w:rPr>
          <w:rFonts w:cstheme="minorHAnsi"/>
          <w:color w:val="000000"/>
          <w:sz w:val="22"/>
          <w:szCs w:val="22"/>
        </w:rPr>
        <w:t>This policy will be reviewed annually.</w:t>
      </w:r>
    </w:p>
    <w:p w14:paraId="5223340F" w14:textId="77777777" w:rsidR="00B14201" w:rsidRDefault="0052628B">
      <w:pPr>
        <w:pStyle w:val="Catch22Contents"/>
        <w:spacing w:before="0" w:after="0" w:line="360" w:lineRule="auto"/>
        <w:rPr>
          <w:rFonts w:asciiTheme="minorHAnsi" w:hAnsiTheme="minorHAnsi" w:cstheme="minorHAnsi"/>
          <w:color w:val="000000"/>
        </w:rPr>
      </w:pPr>
      <w:r>
        <w:rPr>
          <w:rFonts w:asciiTheme="minorHAnsi" w:hAnsiTheme="minorHAnsi" w:cstheme="minorHAnsi"/>
          <w:color w:val="000000"/>
        </w:rPr>
        <w:t>Catch22 reserves the right to amend this policy, following consultation, where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2"/>
        <w:gridCol w:w="4508"/>
      </w:tblGrid>
      <w:tr w:rsidR="00B14201" w14:paraId="52233412" w14:textId="77777777">
        <w:trPr>
          <w:trHeight w:hRule="exact" w:val="680"/>
        </w:trPr>
        <w:tc>
          <w:tcPr>
            <w:tcW w:w="4502" w:type="dxa"/>
            <w:vAlign w:val="center"/>
          </w:tcPr>
          <w:p w14:paraId="52233410"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Policy Owner:</w:t>
            </w:r>
          </w:p>
        </w:tc>
        <w:tc>
          <w:tcPr>
            <w:tcW w:w="4508" w:type="dxa"/>
            <w:vAlign w:val="center"/>
          </w:tcPr>
          <w:p w14:paraId="52233411" w14:textId="49F5D34B" w:rsidR="00B14201" w:rsidRPr="0052628B" w:rsidRDefault="00007052">
            <w:pPr>
              <w:pStyle w:val="Catch22Contents"/>
              <w:spacing w:before="0" w:after="0" w:line="240" w:lineRule="auto"/>
              <w:rPr>
                <w:rFonts w:asciiTheme="minorHAnsi" w:hAnsiTheme="minorHAnsi" w:cstheme="minorHAnsi"/>
                <w:color w:val="000000"/>
                <w:highlight w:val="yellow"/>
              </w:rPr>
            </w:pPr>
            <w:r>
              <w:rPr>
                <w:rFonts w:asciiTheme="minorHAnsi" w:hAnsiTheme="minorHAnsi" w:cstheme="minorHAnsi"/>
                <w:color w:val="000000"/>
              </w:rPr>
              <w:t>Jamie Nielsen</w:t>
            </w:r>
          </w:p>
        </w:tc>
      </w:tr>
      <w:tr w:rsidR="00B14201" w14:paraId="52233415" w14:textId="77777777">
        <w:trPr>
          <w:trHeight w:hRule="exact" w:val="680"/>
        </w:trPr>
        <w:tc>
          <w:tcPr>
            <w:tcW w:w="4502" w:type="dxa"/>
            <w:vAlign w:val="center"/>
          </w:tcPr>
          <w:p w14:paraId="52233413"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Queries to:</w:t>
            </w:r>
          </w:p>
        </w:tc>
        <w:tc>
          <w:tcPr>
            <w:tcW w:w="4508" w:type="dxa"/>
            <w:vAlign w:val="center"/>
          </w:tcPr>
          <w:p w14:paraId="52233414" w14:textId="01760370" w:rsidR="00B14201" w:rsidRPr="0052628B" w:rsidRDefault="00007052">
            <w:pPr>
              <w:pStyle w:val="Catch22Contents"/>
              <w:spacing w:before="0" w:after="0" w:line="240" w:lineRule="auto"/>
              <w:rPr>
                <w:rFonts w:asciiTheme="minorHAnsi" w:hAnsiTheme="minorHAnsi" w:cstheme="minorHAnsi"/>
                <w:color w:val="000000"/>
                <w:highlight w:val="yellow"/>
              </w:rPr>
            </w:pPr>
            <w:r>
              <w:rPr>
                <w:rFonts w:asciiTheme="minorHAnsi" w:hAnsiTheme="minorHAnsi" w:cstheme="minorHAnsi"/>
                <w:color w:val="000000"/>
              </w:rPr>
              <w:t>Jamie Nielsen</w:t>
            </w:r>
          </w:p>
        </w:tc>
      </w:tr>
      <w:tr w:rsidR="00B14201" w14:paraId="52233418" w14:textId="77777777">
        <w:trPr>
          <w:trHeight w:hRule="exact" w:val="680"/>
        </w:trPr>
        <w:tc>
          <w:tcPr>
            <w:tcW w:w="4502" w:type="dxa"/>
            <w:vAlign w:val="center"/>
          </w:tcPr>
          <w:p w14:paraId="52233416"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 xml:space="preserve">Date created:   </w:t>
            </w:r>
          </w:p>
        </w:tc>
        <w:tc>
          <w:tcPr>
            <w:tcW w:w="4508" w:type="dxa"/>
            <w:vAlign w:val="center"/>
          </w:tcPr>
          <w:p w14:paraId="52233417"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October 2019</w:t>
            </w:r>
          </w:p>
        </w:tc>
      </w:tr>
      <w:tr w:rsidR="00B14201" w14:paraId="5223341B" w14:textId="77777777">
        <w:trPr>
          <w:trHeight w:hRule="exact" w:val="680"/>
        </w:trPr>
        <w:tc>
          <w:tcPr>
            <w:tcW w:w="4502" w:type="dxa"/>
            <w:vAlign w:val="center"/>
          </w:tcPr>
          <w:p w14:paraId="52233419"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 xml:space="preserve">Date of last review:   </w:t>
            </w:r>
          </w:p>
        </w:tc>
        <w:tc>
          <w:tcPr>
            <w:tcW w:w="4508" w:type="dxa"/>
            <w:vAlign w:val="center"/>
          </w:tcPr>
          <w:p w14:paraId="5223341A" w14:textId="03FCCE3B" w:rsidR="00B14201" w:rsidRDefault="00647F89">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May</w:t>
            </w:r>
            <w:r w:rsidR="00007052">
              <w:rPr>
                <w:rFonts w:asciiTheme="minorHAnsi" w:hAnsiTheme="minorHAnsi" w:cstheme="minorHAnsi"/>
                <w:color w:val="000000"/>
              </w:rPr>
              <w:t xml:space="preserve"> 202</w:t>
            </w:r>
            <w:r>
              <w:rPr>
                <w:rFonts w:asciiTheme="minorHAnsi" w:hAnsiTheme="minorHAnsi" w:cstheme="minorHAnsi"/>
                <w:color w:val="000000"/>
              </w:rPr>
              <w:t>6</w:t>
            </w:r>
          </w:p>
        </w:tc>
      </w:tr>
      <w:tr w:rsidR="00B14201" w14:paraId="5223341E" w14:textId="77777777">
        <w:trPr>
          <w:trHeight w:hRule="exact" w:val="680"/>
        </w:trPr>
        <w:tc>
          <w:tcPr>
            <w:tcW w:w="4502" w:type="dxa"/>
            <w:vAlign w:val="center"/>
          </w:tcPr>
          <w:p w14:paraId="5223341C"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Date of next review:</w:t>
            </w:r>
          </w:p>
        </w:tc>
        <w:tc>
          <w:tcPr>
            <w:tcW w:w="4508" w:type="dxa"/>
            <w:vAlign w:val="center"/>
          </w:tcPr>
          <w:p w14:paraId="5223341D" w14:textId="28E5FC6A" w:rsidR="00B14201" w:rsidRDefault="007C418C">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August 2027</w:t>
            </w:r>
          </w:p>
        </w:tc>
      </w:tr>
      <w:tr w:rsidR="00B14201" w14:paraId="52233421" w14:textId="77777777">
        <w:trPr>
          <w:trHeight w:hRule="exact" w:val="680"/>
        </w:trPr>
        <w:tc>
          <w:tcPr>
            <w:tcW w:w="4502" w:type="dxa"/>
            <w:vAlign w:val="center"/>
          </w:tcPr>
          <w:p w14:paraId="5223341F"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group, entity, hub:</w:t>
            </w:r>
          </w:p>
        </w:tc>
        <w:tc>
          <w:tcPr>
            <w:tcW w:w="4508" w:type="dxa"/>
            <w:vAlign w:val="center"/>
          </w:tcPr>
          <w:p w14:paraId="52233420" w14:textId="6559F655"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Catch22 Education</w:t>
            </w:r>
          </w:p>
        </w:tc>
      </w:tr>
      <w:tr w:rsidR="00B14201" w14:paraId="52233424" w14:textId="77777777">
        <w:trPr>
          <w:trHeight w:hRule="exact" w:val="680"/>
        </w:trPr>
        <w:tc>
          <w:tcPr>
            <w:tcW w:w="4502" w:type="dxa"/>
            <w:vAlign w:val="center"/>
          </w:tcPr>
          <w:p w14:paraId="52233422"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4Policies level (all staff or managers only)</w:t>
            </w:r>
          </w:p>
        </w:tc>
        <w:tc>
          <w:tcPr>
            <w:tcW w:w="4508" w:type="dxa"/>
            <w:vAlign w:val="center"/>
          </w:tcPr>
          <w:p w14:paraId="52233423" w14:textId="77777777" w:rsidR="00B14201" w:rsidRDefault="0052628B">
            <w:pPr>
              <w:pStyle w:val="Catch22Contents"/>
              <w:spacing w:before="0" w:after="0" w:line="240" w:lineRule="auto"/>
              <w:rPr>
                <w:rFonts w:asciiTheme="minorHAnsi" w:hAnsiTheme="minorHAnsi" w:cstheme="minorHAnsi"/>
                <w:color w:val="000000"/>
              </w:rPr>
            </w:pPr>
            <w:r>
              <w:rPr>
                <w:rFonts w:asciiTheme="minorHAnsi" w:hAnsiTheme="minorHAnsi" w:cstheme="minorHAnsi"/>
                <w:color w:val="000000"/>
              </w:rPr>
              <w:t>All staff</w:t>
            </w:r>
          </w:p>
        </w:tc>
      </w:tr>
    </w:tbl>
    <w:p w14:paraId="52233425" w14:textId="77777777" w:rsidR="00B14201" w:rsidRDefault="00B14201">
      <w:pPr>
        <w:rPr>
          <w:rFonts w:cstheme="minorHAnsi"/>
          <w:b/>
          <w:color w:val="000000"/>
          <w:sz w:val="22"/>
          <w:szCs w:val="22"/>
        </w:rPr>
      </w:pPr>
    </w:p>
    <w:p w14:paraId="52233426" w14:textId="00734509" w:rsidR="00B14201" w:rsidRDefault="0052628B">
      <w:pPr>
        <w:rPr>
          <w:rFonts w:cstheme="minorHAnsi"/>
          <w:b/>
          <w:color w:val="000000"/>
          <w:sz w:val="52"/>
          <w:szCs w:val="52"/>
        </w:rPr>
      </w:pPr>
      <w:r>
        <w:rPr>
          <w:rFonts w:cstheme="minorHAnsi"/>
          <w:b/>
          <w:color w:val="000000"/>
          <w:sz w:val="52"/>
          <w:szCs w:val="52"/>
        </w:rPr>
        <w:t>Catch 22 Independent Schools</w:t>
      </w:r>
    </w:p>
    <w:p w14:paraId="52233427" w14:textId="77777777" w:rsidR="00B14201" w:rsidRDefault="0052628B">
      <w:pPr>
        <w:rPr>
          <w:rFonts w:cstheme="minorHAnsi"/>
          <w:bCs/>
          <w:color w:val="000000"/>
          <w:sz w:val="48"/>
          <w:szCs w:val="48"/>
        </w:rPr>
      </w:pPr>
      <w:r>
        <w:rPr>
          <w:rFonts w:cstheme="minorHAnsi"/>
          <w:bCs/>
          <w:color w:val="000000"/>
          <w:sz w:val="48"/>
          <w:szCs w:val="48"/>
        </w:rPr>
        <w:t>Education Intent Statement</w:t>
      </w:r>
    </w:p>
    <w:p w14:paraId="52233428" w14:textId="77777777" w:rsidR="00B14201" w:rsidRDefault="00B14201">
      <w:pPr>
        <w:rPr>
          <w:rFonts w:cstheme="minorHAnsi"/>
          <w:bCs/>
          <w:sz w:val="20"/>
          <w:szCs w:val="20"/>
        </w:rPr>
      </w:pPr>
    </w:p>
    <w:p w14:paraId="52233429" w14:textId="77777777" w:rsidR="00B14201" w:rsidRDefault="0052628B">
      <w:pPr>
        <w:rPr>
          <w:rFonts w:cstheme="minorHAnsi"/>
          <w:b/>
          <w:sz w:val="28"/>
          <w:szCs w:val="28"/>
        </w:rPr>
      </w:pPr>
      <w:r>
        <w:rPr>
          <w:rFonts w:cstheme="minorHAnsi"/>
          <w:b/>
          <w:sz w:val="28"/>
          <w:szCs w:val="28"/>
        </w:rPr>
        <w:t>Catch22’s Vision:</w:t>
      </w:r>
    </w:p>
    <w:p w14:paraId="5223342A" w14:textId="77777777" w:rsidR="00B14201" w:rsidRDefault="0052628B">
      <w:pPr>
        <w:rPr>
          <w:rFonts w:cstheme="minorHAnsi"/>
          <w:bCs/>
          <w:sz w:val="28"/>
          <w:szCs w:val="28"/>
        </w:rPr>
      </w:pPr>
      <w:r>
        <w:rPr>
          <w:rFonts w:cstheme="minorHAnsi"/>
          <w:bCs/>
          <w:sz w:val="28"/>
          <w:szCs w:val="28"/>
        </w:rPr>
        <w:t>To deliver better social outcomes through transforming public service through the 3Ps:</w:t>
      </w:r>
    </w:p>
    <w:p w14:paraId="5223342B" w14:textId="77777777" w:rsidR="00B14201" w:rsidRDefault="00B14201">
      <w:pPr>
        <w:rPr>
          <w:rFonts w:cstheme="minorHAnsi"/>
          <w:bCs/>
          <w:sz w:val="22"/>
          <w:szCs w:val="22"/>
        </w:rPr>
      </w:pPr>
    </w:p>
    <w:p w14:paraId="5223342C" w14:textId="77777777" w:rsidR="00B14201" w:rsidRDefault="0052628B">
      <w:pPr>
        <w:contextualSpacing/>
        <w:jc w:val="both"/>
        <w:rPr>
          <w:rFonts w:cstheme="minorHAnsi"/>
          <w:sz w:val="28"/>
          <w:szCs w:val="28"/>
          <w:u w:val="single"/>
        </w:rPr>
      </w:pPr>
      <w:r>
        <w:rPr>
          <w:rFonts w:cstheme="minorHAnsi"/>
          <w:b/>
          <w:bCs/>
          <w:sz w:val="28"/>
          <w:szCs w:val="28"/>
          <w:u w:val="single"/>
        </w:rPr>
        <w:t>Place</w:t>
      </w:r>
    </w:p>
    <w:p w14:paraId="5223342D" w14:textId="77777777" w:rsidR="00B14201" w:rsidRDefault="0052628B">
      <w:pPr>
        <w:contextualSpacing/>
        <w:jc w:val="both"/>
        <w:rPr>
          <w:rFonts w:cstheme="minorHAnsi"/>
        </w:rPr>
      </w:pPr>
      <w:r>
        <w:rPr>
          <w:rFonts w:cstheme="minorHAnsi"/>
        </w:rPr>
        <w:t>Supporting people to find, retain, transition safely into homes and communities</w:t>
      </w:r>
    </w:p>
    <w:p w14:paraId="5223342E" w14:textId="77777777" w:rsidR="00B14201" w:rsidRDefault="00B14201">
      <w:pPr>
        <w:ind w:left="720"/>
        <w:contextualSpacing/>
        <w:jc w:val="both"/>
        <w:rPr>
          <w:rFonts w:cstheme="minorHAnsi"/>
          <w:sz w:val="28"/>
          <w:szCs w:val="28"/>
        </w:rPr>
      </w:pPr>
    </w:p>
    <w:p w14:paraId="5223342F" w14:textId="77777777" w:rsidR="00B14201" w:rsidRDefault="0052628B">
      <w:pPr>
        <w:contextualSpacing/>
        <w:jc w:val="both"/>
        <w:rPr>
          <w:rFonts w:cstheme="minorHAnsi"/>
          <w:sz w:val="28"/>
          <w:szCs w:val="28"/>
          <w:u w:val="single"/>
        </w:rPr>
      </w:pPr>
      <w:r>
        <w:rPr>
          <w:rFonts w:cstheme="minorHAnsi"/>
          <w:b/>
          <w:bCs/>
          <w:sz w:val="28"/>
          <w:szCs w:val="28"/>
          <w:u w:val="single"/>
        </w:rPr>
        <w:t>Purpose</w:t>
      </w:r>
      <w:r>
        <w:rPr>
          <w:rFonts w:cstheme="minorHAnsi"/>
          <w:sz w:val="28"/>
          <w:szCs w:val="28"/>
          <w:u w:val="single"/>
        </w:rPr>
        <w:t xml:space="preserve"> </w:t>
      </w:r>
    </w:p>
    <w:p w14:paraId="52233430" w14:textId="77777777" w:rsidR="00B14201" w:rsidRDefault="0052628B">
      <w:pPr>
        <w:jc w:val="both"/>
        <w:rPr>
          <w:rFonts w:cstheme="minorHAnsi"/>
        </w:rPr>
      </w:pPr>
      <w:r>
        <w:rPr>
          <w:rFonts w:cstheme="minorHAnsi"/>
        </w:rPr>
        <w:t>Working with people to achieve their purpose in education, employment or training</w:t>
      </w:r>
    </w:p>
    <w:p w14:paraId="52233431" w14:textId="77777777" w:rsidR="00B14201" w:rsidRDefault="00B14201">
      <w:pPr>
        <w:ind w:left="720"/>
        <w:jc w:val="both"/>
        <w:rPr>
          <w:rFonts w:cstheme="minorHAnsi"/>
          <w:sz w:val="28"/>
          <w:szCs w:val="28"/>
        </w:rPr>
      </w:pPr>
    </w:p>
    <w:p w14:paraId="52233432" w14:textId="77777777" w:rsidR="00B14201" w:rsidRDefault="0052628B">
      <w:pPr>
        <w:rPr>
          <w:rFonts w:cstheme="minorHAnsi"/>
          <w:b/>
          <w:bCs/>
          <w:sz w:val="28"/>
          <w:szCs w:val="28"/>
          <w:u w:val="single"/>
        </w:rPr>
      </w:pPr>
      <w:r>
        <w:rPr>
          <w:rFonts w:cstheme="minorHAnsi"/>
          <w:b/>
          <w:bCs/>
          <w:sz w:val="28"/>
          <w:szCs w:val="28"/>
          <w:u w:val="single"/>
        </w:rPr>
        <w:t>People</w:t>
      </w:r>
    </w:p>
    <w:p w14:paraId="52233433" w14:textId="77777777" w:rsidR="00B14201" w:rsidRDefault="0052628B">
      <w:pPr>
        <w:rPr>
          <w:rFonts w:cstheme="minorHAnsi"/>
          <w:bCs/>
        </w:rPr>
      </w:pPr>
      <w:r>
        <w:rPr>
          <w:rFonts w:cstheme="minorHAnsi"/>
        </w:rPr>
        <w:t>Building networks of people around individuals</w:t>
      </w:r>
    </w:p>
    <w:p w14:paraId="52233434" w14:textId="77777777" w:rsidR="00B14201" w:rsidRDefault="00B14201">
      <w:pPr>
        <w:jc w:val="both"/>
        <w:rPr>
          <w:rFonts w:cstheme="minorHAnsi"/>
          <w:sz w:val="22"/>
          <w:szCs w:val="22"/>
        </w:rPr>
      </w:pPr>
    </w:p>
    <w:p w14:paraId="52233435" w14:textId="77777777" w:rsidR="00B14201" w:rsidRDefault="00B14201">
      <w:pPr>
        <w:jc w:val="both"/>
        <w:rPr>
          <w:rFonts w:cstheme="minorHAnsi"/>
          <w:sz w:val="22"/>
          <w:szCs w:val="22"/>
        </w:rPr>
      </w:pPr>
    </w:p>
    <w:p w14:paraId="52233436" w14:textId="77777777" w:rsidR="00B14201" w:rsidRDefault="0052628B">
      <w:pPr>
        <w:jc w:val="both"/>
        <w:rPr>
          <w:rFonts w:cstheme="minorHAnsi"/>
          <w:b/>
          <w:bCs/>
          <w:sz w:val="28"/>
          <w:szCs w:val="28"/>
        </w:rPr>
      </w:pPr>
      <w:r>
        <w:rPr>
          <w:rFonts w:cstheme="minorHAnsi"/>
          <w:b/>
          <w:bCs/>
          <w:sz w:val="28"/>
          <w:szCs w:val="28"/>
        </w:rPr>
        <w:t>Our Education Mission:</w:t>
      </w:r>
    </w:p>
    <w:p w14:paraId="52233437" w14:textId="77777777" w:rsidR="00B14201" w:rsidRDefault="0052628B">
      <w:pPr>
        <w:rPr>
          <w:rFonts w:cstheme="minorHAnsi"/>
          <w:bCs/>
          <w:sz w:val="28"/>
          <w:szCs w:val="28"/>
        </w:rPr>
      </w:pPr>
      <w:r>
        <w:rPr>
          <w:rFonts w:cstheme="minorHAnsi"/>
          <w:bCs/>
          <w:sz w:val="28"/>
          <w:szCs w:val="28"/>
        </w:rPr>
        <w:t>To enable young people to progress and succeed in sustained education, training or employment.</w:t>
      </w:r>
    </w:p>
    <w:p w14:paraId="52233438" w14:textId="77777777" w:rsidR="00B14201" w:rsidRDefault="00B14201">
      <w:pPr>
        <w:jc w:val="center"/>
        <w:rPr>
          <w:rFonts w:cstheme="minorHAnsi"/>
          <w:b/>
        </w:rPr>
      </w:pPr>
    </w:p>
    <w:p w14:paraId="52233439" w14:textId="77777777" w:rsidR="00B14201" w:rsidRDefault="0052628B">
      <w:pPr>
        <w:jc w:val="both"/>
        <w:rPr>
          <w:rFonts w:cstheme="minorHAnsi"/>
        </w:rPr>
      </w:pPr>
      <w:r>
        <w:rPr>
          <w:rFonts w:cstheme="minorHAnsi"/>
        </w:rPr>
        <w:t xml:space="preserve">We do this through engaging young </w:t>
      </w:r>
      <w:r>
        <w:rPr>
          <w:rFonts w:cstheme="minorHAnsi"/>
          <w:b/>
          <w:u w:val="single"/>
        </w:rPr>
        <w:t>people</w:t>
      </w:r>
      <w:r>
        <w:rPr>
          <w:rFonts w:cstheme="minorHAnsi"/>
        </w:rPr>
        <w:t xml:space="preserve"> positively with their </w:t>
      </w:r>
      <w:r>
        <w:rPr>
          <w:rFonts w:cstheme="minorHAnsi"/>
          <w:b/>
          <w:u w:val="single"/>
        </w:rPr>
        <w:t xml:space="preserve">purpose </w:t>
      </w:r>
      <w:r>
        <w:rPr>
          <w:rFonts w:cstheme="minorHAnsi"/>
        </w:rPr>
        <w:t xml:space="preserve">through learning and future life aspirations. All our pupils achieve positive outcomes, thrive and enjoy a quality education that is delivered by skilled, passionate </w:t>
      </w:r>
      <w:r>
        <w:rPr>
          <w:rFonts w:cstheme="minorHAnsi"/>
          <w:b/>
          <w:u w:val="single"/>
        </w:rPr>
        <w:t>people</w:t>
      </w:r>
      <w:r>
        <w:rPr>
          <w:rFonts w:cstheme="minorHAnsi"/>
        </w:rPr>
        <w:t xml:space="preserve"> with high expectations in a </w:t>
      </w:r>
      <w:r>
        <w:rPr>
          <w:rFonts w:cstheme="minorHAnsi"/>
          <w:b/>
          <w:u w:val="single"/>
        </w:rPr>
        <w:t>place</w:t>
      </w:r>
      <w:r>
        <w:rPr>
          <w:rFonts w:cstheme="minorHAnsi"/>
        </w:rPr>
        <w:t xml:space="preserve"> that is safe, high quality and appropriate. </w:t>
      </w:r>
    </w:p>
    <w:p w14:paraId="5223343A" w14:textId="77777777" w:rsidR="00B14201" w:rsidRDefault="00B14201">
      <w:pPr>
        <w:ind w:left="720"/>
        <w:contextualSpacing/>
        <w:jc w:val="both"/>
        <w:rPr>
          <w:rFonts w:cstheme="minorHAnsi"/>
        </w:rPr>
      </w:pPr>
    </w:p>
    <w:p w14:paraId="5223343B" w14:textId="77777777" w:rsidR="00B14201" w:rsidRDefault="00B14201">
      <w:pPr>
        <w:ind w:left="720"/>
        <w:contextualSpacing/>
        <w:jc w:val="both"/>
        <w:rPr>
          <w:rFonts w:cstheme="minorHAnsi"/>
        </w:rPr>
      </w:pPr>
    </w:p>
    <w:p w14:paraId="5223343C" w14:textId="77777777" w:rsidR="00B14201" w:rsidRDefault="0052628B">
      <w:pPr>
        <w:jc w:val="both"/>
        <w:rPr>
          <w:rFonts w:cstheme="minorHAnsi"/>
        </w:rPr>
      </w:pPr>
      <w:r>
        <w:rPr>
          <w:rFonts w:cstheme="minorHAnsi"/>
        </w:rPr>
        <w:t>Our schools cater for young people aged 4-16 who are outside of mainstream education, many of whom have troubled and challenging backgrounds. We embody our vision in all we do to ensure our pupils are supported fully to achieve these goals.</w:t>
      </w:r>
    </w:p>
    <w:p w14:paraId="5223343D" w14:textId="77777777" w:rsidR="00B14201" w:rsidRDefault="00B14201">
      <w:pPr>
        <w:jc w:val="both"/>
        <w:rPr>
          <w:rFonts w:cstheme="minorHAnsi"/>
          <w:sz w:val="28"/>
          <w:szCs w:val="28"/>
        </w:rPr>
      </w:pPr>
    </w:p>
    <w:p w14:paraId="5223343E" w14:textId="77777777" w:rsidR="00B14201" w:rsidRDefault="00B14201">
      <w:pPr>
        <w:jc w:val="both"/>
        <w:rPr>
          <w:rFonts w:cstheme="minorHAnsi"/>
          <w:sz w:val="28"/>
          <w:szCs w:val="28"/>
        </w:rPr>
      </w:pPr>
    </w:p>
    <w:p w14:paraId="5223343F" w14:textId="77777777" w:rsidR="00B14201" w:rsidRDefault="00B14201">
      <w:pPr>
        <w:spacing w:before="240" w:after="240" w:line="276" w:lineRule="auto"/>
        <w:rPr>
          <w:rFonts w:ascii="Arial" w:hAnsi="Arial" w:cs="Arial"/>
          <w:b/>
          <w:noProof/>
          <w:color w:val="003399"/>
          <w:sz w:val="28"/>
          <w:szCs w:val="28"/>
        </w:rPr>
      </w:pPr>
      <w:bookmarkStart w:id="0" w:name="_Hlk496707194"/>
    </w:p>
    <w:p w14:paraId="52233440" w14:textId="77777777" w:rsidR="00B14201" w:rsidRDefault="00B14201">
      <w:pPr>
        <w:spacing w:before="240" w:after="240" w:line="276" w:lineRule="auto"/>
        <w:rPr>
          <w:rFonts w:ascii="Arial" w:hAnsi="Arial" w:cs="Arial"/>
          <w:b/>
          <w:noProof/>
          <w:color w:val="003399"/>
          <w:sz w:val="28"/>
          <w:szCs w:val="28"/>
        </w:rPr>
      </w:pPr>
    </w:p>
    <w:p w14:paraId="52233441" w14:textId="77777777" w:rsidR="00B14201" w:rsidRDefault="00B14201">
      <w:pPr>
        <w:spacing w:before="240" w:after="240" w:line="276" w:lineRule="auto"/>
        <w:rPr>
          <w:rFonts w:ascii="Arial" w:hAnsi="Arial" w:cs="Arial"/>
          <w:b/>
          <w:noProof/>
          <w:color w:val="003399"/>
          <w:sz w:val="28"/>
          <w:szCs w:val="28"/>
        </w:rPr>
      </w:pPr>
    </w:p>
    <w:p w14:paraId="52233442" w14:textId="77777777" w:rsidR="00B14201" w:rsidRDefault="00B14201">
      <w:pPr>
        <w:spacing w:before="240" w:after="240" w:line="276" w:lineRule="auto"/>
        <w:rPr>
          <w:rFonts w:ascii="Arial" w:hAnsi="Arial" w:cs="Arial"/>
          <w:b/>
          <w:noProof/>
          <w:color w:val="003399"/>
          <w:sz w:val="28"/>
          <w:szCs w:val="28"/>
        </w:rPr>
      </w:pPr>
    </w:p>
    <w:p w14:paraId="52233443" w14:textId="77777777" w:rsidR="00B14201" w:rsidRDefault="00B14201">
      <w:pPr>
        <w:spacing w:before="240" w:after="240" w:line="276" w:lineRule="auto"/>
        <w:rPr>
          <w:rFonts w:ascii="Arial" w:hAnsi="Arial" w:cs="Arial"/>
          <w:b/>
          <w:noProof/>
          <w:color w:val="003399"/>
          <w:sz w:val="28"/>
          <w:szCs w:val="28"/>
        </w:rPr>
      </w:pPr>
    </w:p>
    <w:p w14:paraId="52233444" w14:textId="77777777" w:rsidR="00B14201" w:rsidRDefault="0052628B">
      <w:pPr>
        <w:pStyle w:val="Headinglevel1"/>
        <w:spacing w:before="240" w:line="276" w:lineRule="auto"/>
        <w:rPr>
          <w:rFonts w:cs="Arial"/>
          <w:sz w:val="24"/>
          <w:szCs w:val="24"/>
        </w:rPr>
      </w:pPr>
      <w:bookmarkStart w:id="1" w:name="_Toc496088789"/>
      <w:r>
        <w:rPr>
          <w:rFonts w:cs="Arial"/>
          <w:sz w:val="24"/>
          <w:szCs w:val="24"/>
        </w:rPr>
        <w:lastRenderedPageBreak/>
        <w:t>What are access arrangements and reasonable adjustments?</w:t>
      </w:r>
      <w:bookmarkEnd w:id="1"/>
    </w:p>
    <w:p w14:paraId="52233445" w14:textId="77777777" w:rsidR="00B14201" w:rsidRDefault="0052628B">
      <w:pPr>
        <w:pStyle w:val="Headinglevel2"/>
        <w:spacing w:before="240" w:after="120"/>
        <w:rPr>
          <w:rFonts w:cs="Arial"/>
        </w:rPr>
      </w:pPr>
      <w:bookmarkStart w:id="2" w:name="_Toc523473881"/>
      <w:bookmarkStart w:id="3" w:name="_Toc22304697"/>
      <w:bookmarkStart w:id="4" w:name="_Toc22487025"/>
      <w:bookmarkStart w:id="5" w:name="_Toc22487144"/>
      <w:bookmarkStart w:id="6" w:name="_Toc22487619"/>
      <w:r>
        <w:rPr>
          <w:rFonts w:cs="Arial"/>
        </w:rPr>
        <w:t>Access arrangements</w:t>
      </w:r>
      <w:bookmarkEnd w:id="2"/>
      <w:bookmarkEnd w:id="3"/>
      <w:bookmarkEnd w:id="4"/>
      <w:bookmarkEnd w:id="5"/>
      <w:bookmarkEnd w:id="6"/>
    </w:p>
    <w:p w14:paraId="52233446" w14:textId="77777777" w:rsidR="00B14201" w:rsidRDefault="0052628B">
      <w:pPr>
        <w:spacing w:before="100" w:beforeAutospacing="1" w:after="100" w:afterAutospacing="1"/>
        <w:rPr>
          <w:rFonts w:ascii="Arial" w:eastAsia="Times New Roman" w:hAnsi="Arial" w:cs="Arial"/>
          <w:sz w:val="20"/>
          <w:szCs w:val="20"/>
        </w:rPr>
      </w:pPr>
      <w:hyperlink r:id="rId11" w:history="1">
        <w:r>
          <w:rPr>
            <w:rStyle w:val="Hyperlink"/>
            <w:rFonts w:ascii="Arial" w:hAnsi="Arial" w:cs="Arial"/>
            <w:sz w:val="20"/>
            <w:szCs w:val="20"/>
          </w:rPr>
          <w:t>AA</w:t>
        </w:r>
      </w:hyperlink>
      <w:r>
        <w:rPr>
          <w:rFonts w:ascii="Arial" w:hAnsi="Arial" w:cs="Arial"/>
          <w:sz w:val="20"/>
          <w:szCs w:val="20"/>
        </w:rPr>
        <w:t xml:space="preserve"> </w:t>
      </w:r>
      <w:r>
        <w:rPr>
          <w:rFonts w:ascii="Arial" w:hAnsi="Arial" w:cs="Arial"/>
          <w:color w:val="595959" w:themeColor="text1" w:themeTint="A6"/>
          <w:sz w:val="20"/>
          <w:szCs w:val="20"/>
        </w:rPr>
        <w:t>(Definitions, page 3)</w:t>
      </w:r>
      <w:r>
        <w:rPr>
          <w:rStyle w:val="Hyperlink"/>
          <w:rFonts w:ascii="Arial" w:hAnsi="Arial" w:cs="Arial"/>
          <w:color w:val="595959" w:themeColor="text1" w:themeTint="A6"/>
          <w:sz w:val="20"/>
          <w:szCs w:val="20"/>
        </w:rPr>
        <w:t xml:space="preserve"> state</w:t>
      </w:r>
      <w:r>
        <w:rPr>
          <w:rFonts w:ascii="Arial" w:hAnsi="Arial" w:cs="Arial"/>
          <w:color w:val="595959" w:themeColor="text1" w:themeTint="A6"/>
          <w:sz w:val="20"/>
          <w:szCs w:val="20"/>
        </w:rPr>
        <w:t xml:space="preserve">… </w:t>
      </w:r>
      <w:r>
        <w:rPr>
          <w:rFonts w:ascii="Arial" w:eastAsia="Times New Roman" w:hAnsi="Arial" w:cs="Arial"/>
          <w:b/>
          <w:bCs/>
          <w:color w:val="595959" w:themeColor="text1" w:themeTint="A6"/>
          <w:sz w:val="20"/>
          <w:szCs w:val="20"/>
        </w:rPr>
        <w:t>Access arrangements are agreed before an assessment</w:t>
      </w:r>
      <w:r>
        <w:rPr>
          <w:rFonts w:ascii="Arial" w:eastAsia="Times New Roman" w:hAnsi="Arial" w:cs="Arial"/>
          <w:color w:val="595959" w:themeColor="text1" w:themeTint="A6"/>
          <w:sz w:val="20"/>
          <w:szCs w:val="20"/>
        </w:rPr>
        <w:t xml:space="preserve">. They allow candidates with </w:t>
      </w:r>
      <w:r>
        <w:rPr>
          <w:rFonts w:ascii="Arial" w:eastAsia="Times New Roman" w:hAnsi="Arial" w:cs="Arial"/>
          <w:b/>
          <w:bCs/>
          <w:color w:val="595959" w:themeColor="text1" w:themeTint="A6"/>
          <w:sz w:val="20"/>
          <w:szCs w:val="20"/>
        </w:rPr>
        <w:t>specific needs</w:t>
      </w:r>
      <w:r>
        <w:rPr>
          <w:rFonts w:ascii="Arial" w:eastAsia="Times New Roman" w:hAnsi="Arial" w:cs="Arial"/>
          <w:color w:val="595959" w:themeColor="text1" w:themeTint="A6"/>
          <w:sz w:val="20"/>
          <w:szCs w:val="20"/>
        </w:rPr>
        <w:t>, such as special educational needs, disabilities or temporary injuries to access the assessment and show what they know and can do without changing the demands of the assessment. The intention behind an access arrangement is to meet the needs of an individual candidate without affecting the integrity of the assessment. Access arrangements are the principal way in which awarding bodies comply with the duty under the Equality Act 2010* to make ‘reasonable adjustments’.</w:t>
      </w:r>
    </w:p>
    <w:p w14:paraId="52233447" w14:textId="77777777" w:rsidR="00B14201" w:rsidRDefault="0052628B">
      <w:pPr>
        <w:pStyle w:val="Headinglevel2"/>
        <w:spacing w:before="240" w:after="120"/>
        <w:rPr>
          <w:rFonts w:cs="Arial"/>
          <w:sz w:val="20"/>
          <w:szCs w:val="20"/>
        </w:rPr>
      </w:pPr>
      <w:bookmarkStart w:id="7" w:name="_Toc523473882"/>
      <w:bookmarkStart w:id="8" w:name="_Toc22304698"/>
      <w:bookmarkStart w:id="9" w:name="_Toc22487026"/>
      <w:bookmarkStart w:id="10" w:name="_Toc22487145"/>
      <w:bookmarkStart w:id="11" w:name="_Toc22487620"/>
      <w:r>
        <w:rPr>
          <w:rFonts w:cs="Arial"/>
          <w:sz w:val="20"/>
          <w:szCs w:val="20"/>
        </w:rPr>
        <w:t>Reasonable adjustments</w:t>
      </w:r>
      <w:bookmarkEnd w:id="7"/>
      <w:bookmarkEnd w:id="8"/>
      <w:bookmarkEnd w:id="9"/>
      <w:bookmarkEnd w:id="10"/>
      <w:bookmarkEnd w:id="11"/>
    </w:p>
    <w:p w14:paraId="52233448" w14:textId="77777777" w:rsidR="00B14201" w:rsidRDefault="0052628B">
      <w:pPr>
        <w:pStyle w:val="NormalWeb"/>
        <w:spacing w:before="0" w:beforeAutospacing="0" w:after="120" w:afterAutospacing="0"/>
        <w:rPr>
          <w:rFonts w:ascii="Arial" w:hAnsi="Arial" w:cs="Arial"/>
          <w:color w:val="595959" w:themeColor="text1" w:themeTint="A6"/>
          <w:sz w:val="20"/>
          <w:szCs w:val="20"/>
        </w:rPr>
      </w:pPr>
      <w:hyperlink r:id="rId12" w:history="1">
        <w:r>
          <w:rPr>
            <w:rStyle w:val="Hyperlink"/>
            <w:rFonts w:ascii="Arial" w:hAnsi="Arial" w:cs="Arial"/>
            <w:sz w:val="20"/>
            <w:szCs w:val="20"/>
          </w:rPr>
          <w:t>AA</w:t>
        </w:r>
      </w:hyperlink>
      <w:r>
        <w:rPr>
          <w:rFonts w:ascii="Arial" w:hAnsi="Arial" w:cs="Arial"/>
          <w:sz w:val="20"/>
          <w:szCs w:val="20"/>
        </w:rPr>
        <w:t xml:space="preserve"> </w:t>
      </w:r>
      <w:r>
        <w:rPr>
          <w:rFonts w:ascii="Arial" w:hAnsi="Arial" w:cs="Arial"/>
          <w:color w:val="595959" w:themeColor="text1" w:themeTint="A6"/>
          <w:sz w:val="20"/>
          <w:szCs w:val="20"/>
        </w:rPr>
        <w:t>(Definitions, page 3)</w:t>
      </w:r>
      <w:r>
        <w:rPr>
          <w:rStyle w:val="Hyperlink"/>
          <w:rFonts w:ascii="Arial" w:hAnsi="Arial" w:cs="Arial"/>
          <w:color w:val="595959" w:themeColor="text1" w:themeTint="A6"/>
          <w:sz w:val="20"/>
          <w:szCs w:val="20"/>
        </w:rPr>
        <w:t xml:space="preserve"> state</w:t>
      </w:r>
      <w:r>
        <w:rPr>
          <w:rFonts w:ascii="Arial" w:hAnsi="Arial" w:cs="Arial"/>
          <w:color w:val="595959" w:themeColor="text1" w:themeTint="A6"/>
          <w:sz w:val="20"/>
          <w:szCs w:val="20"/>
        </w:rPr>
        <w:t xml:space="preserve">… The Equality Act 2010* requires </w:t>
      </w:r>
      <w:r>
        <w:rPr>
          <w:rFonts w:ascii="Arial" w:hAnsi="Arial" w:cs="Arial"/>
          <w:b/>
          <w:bCs/>
          <w:color w:val="595959" w:themeColor="text1" w:themeTint="A6"/>
          <w:sz w:val="20"/>
          <w:szCs w:val="20"/>
        </w:rPr>
        <w:t xml:space="preserve">an awarding body </w:t>
      </w:r>
      <w:r>
        <w:rPr>
          <w:rFonts w:ascii="Arial" w:hAnsi="Arial" w:cs="Arial"/>
          <w:color w:val="595959" w:themeColor="text1" w:themeTint="A6"/>
          <w:sz w:val="20"/>
          <w:szCs w:val="20"/>
        </w:rPr>
        <w:t xml:space="preserve">to make reasonable adjustments where a candidate, who is disabled within the meaning of the Equality Act 2010, would be at </w:t>
      </w:r>
      <w:r>
        <w:rPr>
          <w:rFonts w:ascii="Arial" w:hAnsi="Arial" w:cs="Arial"/>
          <w:b/>
          <w:bCs/>
          <w:color w:val="595959" w:themeColor="text1" w:themeTint="A6"/>
          <w:sz w:val="20"/>
          <w:szCs w:val="20"/>
        </w:rPr>
        <w:t xml:space="preserve">a substantial disadvantage </w:t>
      </w:r>
      <w:r>
        <w:rPr>
          <w:rFonts w:ascii="Arial" w:hAnsi="Arial" w:cs="Arial"/>
          <w:color w:val="595959" w:themeColor="text1" w:themeTint="A6"/>
          <w:sz w:val="20"/>
          <w:szCs w:val="20"/>
        </w:rPr>
        <w:t xml:space="preserve">in comparison to someone who is not disabled. The awarding body is required to take reasonable steps to overcome that disadvantage. An example would be a Braille paper which would be a reasonable adjustment for a vision impaired candidate who could read Braille. A reasonable adjustment may be unique to that individual and may not be included in the list of available access arrangements. Whether an adjustment will be considered reasonable will depend on several factors which will include, but are not limited to: </w:t>
      </w:r>
    </w:p>
    <w:p w14:paraId="52233449" w14:textId="77777777" w:rsidR="00B14201" w:rsidRDefault="0052628B">
      <w:pPr>
        <w:numPr>
          <w:ilvl w:val="0"/>
          <w:numId w:val="23"/>
        </w:numPr>
        <w:ind w:left="714" w:hanging="357"/>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the needs of the disabled candidate; </w:t>
      </w:r>
    </w:p>
    <w:p w14:paraId="5223344A" w14:textId="77777777" w:rsidR="00B14201" w:rsidRDefault="0052628B">
      <w:pPr>
        <w:numPr>
          <w:ilvl w:val="0"/>
          <w:numId w:val="23"/>
        </w:numPr>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the effectiveness of the adjustment; </w:t>
      </w:r>
    </w:p>
    <w:p w14:paraId="5223344B" w14:textId="77777777" w:rsidR="00B14201" w:rsidRDefault="0052628B">
      <w:pPr>
        <w:numPr>
          <w:ilvl w:val="0"/>
          <w:numId w:val="23"/>
        </w:numPr>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the cost of the adjustment; </w:t>
      </w:r>
      <w:r>
        <w:rPr>
          <w:rFonts w:ascii="Arial" w:eastAsia="Times New Roman" w:hAnsi="Arial" w:cs="Arial"/>
          <w:b/>
          <w:bCs/>
          <w:color w:val="595959" w:themeColor="text1" w:themeTint="A6"/>
          <w:sz w:val="20"/>
          <w:szCs w:val="20"/>
        </w:rPr>
        <w:t xml:space="preserve">and </w:t>
      </w:r>
    </w:p>
    <w:p w14:paraId="5223344C" w14:textId="77777777" w:rsidR="00B14201" w:rsidRDefault="0052628B">
      <w:pPr>
        <w:numPr>
          <w:ilvl w:val="0"/>
          <w:numId w:val="23"/>
        </w:numPr>
        <w:ind w:left="714" w:hanging="357"/>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the likely impact of the adjustment upon the candidate and other candidates. </w:t>
      </w:r>
    </w:p>
    <w:p w14:paraId="5223344D" w14:textId="77777777" w:rsidR="00B14201" w:rsidRDefault="0052628B">
      <w:pPr>
        <w:ind w:left="720"/>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An adjustment will not be approved if it: </w:t>
      </w:r>
    </w:p>
    <w:p w14:paraId="5223344E" w14:textId="77777777" w:rsidR="00B14201" w:rsidRDefault="0052628B">
      <w:pPr>
        <w:numPr>
          <w:ilvl w:val="0"/>
          <w:numId w:val="24"/>
        </w:numPr>
        <w:ind w:left="714" w:hanging="357"/>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involves unreasonable costs to the awarding body; </w:t>
      </w:r>
    </w:p>
    <w:p w14:paraId="5223344F" w14:textId="77777777" w:rsidR="00B14201" w:rsidRDefault="0052628B">
      <w:pPr>
        <w:numPr>
          <w:ilvl w:val="0"/>
          <w:numId w:val="24"/>
        </w:numPr>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involves unreasonable timeframes; or </w:t>
      </w:r>
    </w:p>
    <w:p w14:paraId="52233450" w14:textId="77777777" w:rsidR="00B14201" w:rsidRDefault="0052628B">
      <w:pPr>
        <w:numPr>
          <w:ilvl w:val="0"/>
          <w:numId w:val="24"/>
        </w:numPr>
        <w:ind w:left="714" w:hanging="357"/>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affects the security and integrity of the assessment. </w:t>
      </w:r>
    </w:p>
    <w:p w14:paraId="52233451" w14:textId="77777777" w:rsidR="00B14201" w:rsidRDefault="0052628B">
      <w:pPr>
        <w:ind w:left="720"/>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This is because the adjustment is not ‘reasonable’. </w:t>
      </w:r>
    </w:p>
    <w:p w14:paraId="2D8385E1" w14:textId="77777777" w:rsidR="00A42576" w:rsidRDefault="00A42576">
      <w:pPr>
        <w:spacing w:line="276" w:lineRule="auto"/>
        <w:jc w:val="both"/>
        <w:rPr>
          <w:rFonts w:ascii="Arial" w:hAnsi="Arial" w:cs="Arial"/>
          <w:b/>
          <w:sz w:val="20"/>
          <w:szCs w:val="20"/>
        </w:rPr>
      </w:pPr>
      <w:bookmarkStart w:id="12" w:name="_Toc490083853"/>
      <w:bookmarkStart w:id="13" w:name="_Toc496088792"/>
      <w:bookmarkStart w:id="14" w:name="_Toc466921629"/>
      <w:bookmarkStart w:id="15" w:name="_Toc449469095"/>
    </w:p>
    <w:p w14:paraId="52233452" w14:textId="66C1A27D" w:rsidR="00B14201" w:rsidRDefault="0052628B">
      <w:pPr>
        <w:spacing w:line="276" w:lineRule="auto"/>
        <w:jc w:val="both"/>
        <w:rPr>
          <w:rFonts w:ascii="Arial" w:hAnsi="Arial" w:cs="Arial"/>
          <w:b/>
          <w:sz w:val="20"/>
          <w:szCs w:val="20"/>
        </w:rPr>
      </w:pPr>
      <w:r>
        <w:rPr>
          <w:rFonts w:ascii="Arial" w:hAnsi="Arial" w:cs="Arial"/>
          <w:b/>
          <w:sz w:val="20"/>
          <w:szCs w:val="20"/>
        </w:rPr>
        <w:t>Purpose of the policy</w:t>
      </w:r>
      <w:bookmarkEnd w:id="12"/>
      <w:bookmarkEnd w:id="13"/>
      <w:r>
        <w:rPr>
          <w:rFonts w:ascii="Arial" w:hAnsi="Arial" w:cs="Arial"/>
          <w:b/>
          <w:sz w:val="20"/>
          <w:szCs w:val="20"/>
        </w:rPr>
        <w:t xml:space="preserve"> </w:t>
      </w:r>
    </w:p>
    <w:p w14:paraId="52233453" w14:textId="2257FD4F" w:rsidR="00B14201" w:rsidRPr="00543072" w:rsidRDefault="0052628B" w:rsidP="00543072">
      <w:pPr>
        <w:rPr>
          <w:rFonts w:ascii="Arial" w:hAnsi="Arial" w:cs="Arial"/>
          <w:sz w:val="20"/>
          <w:szCs w:val="20"/>
        </w:rPr>
      </w:pPr>
      <w:bookmarkStart w:id="16" w:name="_Toc490083854"/>
      <w:bookmarkStart w:id="17" w:name="_Toc496088793"/>
      <w:bookmarkStart w:id="18" w:name="_Toc523473884"/>
      <w:bookmarkStart w:id="19" w:name="_Toc443593739"/>
      <w:bookmarkStart w:id="20" w:name="_Toc466921640"/>
      <w:r>
        <w:rPr>
          <w:rFonts w:ascii="Arial" w:hAnsi="Arial" w:cs="Arial"/>
          <w:sz w:val="20"/>
          <w:szCs w:val="20"/>
        </w:rPr>
        <w:t xml:space="preserve">The purpose of this policy is to confirm that The </w:t>
      </w:r>
      <w:r w:rsidR="00543072" w:rsidRPr="00543072">
        <w:rPr>
          <w:rFonts w:ascii="Arial" w:hAnsi="Arial" w:cs="Arial"/>
          <w:sz w:val="20"/>
          <w:szCs w:val="20"/>
        </w:rPr>
        <w:t xml:space="preserve">Catch22 Include </w:t>
      </w:r>
      <w:r w:rsidR="00C408C1">
        <w:rPr>
          <w:rFonts w:ascii="Arial" w:hAnsi="Arial" w:cs="Arial"/>
          <w:sz w:val="20"/>
          <w:szCs w:val="20"/>
        </w:rPr>
        <w:t>London</w:t>
      </w:r>
      <w:r w:rsidR="00543072" w:rsidRPr="00543072">
        <w:rPr>
          <w:rFonts w:ascii="Arial" w:hAnsi="Arial" w:cs="Arial"/>
          <w:sz w:val="20"/>
          <w:szCs w:val="20"/>
        </w:rPr>
        <w:t xml:space="preserve"> School</w:t>
      </w:r>
      <w:r w:rsidR="00543072">
        <w:rPr>
          <w:rFonts w:ascii="Arial" w:hAnsi="Arial" w:cs="Arial"/>
          <w:sz w:val="20"/>
          <w:szCs w:val="20"/>
        </w:rPr>
        <w:t xml:space="preserve"> </w:t>
      </w:r>
      <w:r>
        <w:rPr>
          <w:rFonts w:ascii="Arial" w:hAnsi="Arial" w:cs="Arial"/>
          <w:sz w:val="20"/>
          <w:szCs w:val="20"/>
        </w:rPr>
        <w:t xml:space="preserve">has a written record which clearly shows the centre is leading on the access arrangements process and is complying with its </w:t>
      </w:r>
      <w:r>
        <w:rPr>
          <w:rFonts w:ascii="Arial" w:hAnsi="Arial" w:cs="Arial"/>
          <w:i/>
          <w:sz w:val="20"/>
          <w:szCs w:val="20"/>
        </w:rPr>
        <w:t>“...obligation to identify the need for, request and implement access arrangements...”</w:t>
      </w:r>
    </w:p>
    <w:p w14:paraId="52233454" w14:textId="77777777" w:rsidR="00B14201" w:rsidRDefault="0052628B">
      <w:pPr>
        <w:pStyle w:val="ListParagraph"/>
        <w:tabs>
          <w:tab w:val="left" w:pos="10490"/>
        </w:tabs>
        <w:spacing w:before="120" w:after="120" w:line="276" w:lineRule="auto"/>
        <w:ind w:right="-11"/>
        <w:jc w:val="right"/>
        <w:rPr>
          <w:rFonts w:ascii="Arial" w:hAnsi="Arial" w:cs="Arial"/>
        </w:rPr>
      </w:pPr>
      <w:r>
        <w:rPr>
          <w:rFonts w:ascii="Arial" w:hAnsi="Arial" w:cs="Arial"/>
        </w:rPr>
        <w:t>[JCQ General Regulations for Approved Centres, 5.4]</w:t>
      </w:r>
    </w:p>
    <w:p w14:paraId="52233455" w14:textId="77777777" w:rsidR="00B14201" w:rsidRDefault="0052628B">
      <w:pPr>
        <w:jc w:val="right"/>
        <w:rPr>
          <w:rFonts w:ascii="Arial" w:hAnsi="Arial" w:cs="Arial"/>
          <w:i/>
          <w:color w:val="000000"/>
          <w:sz w:val="20"/>
          <w:szCs w:val="20"/>
        </w:rPr>
      </w:pPr>
      <w:r>
        <w:rPr>
          <w:rFonts w:ascii="Arial" w:hAnsi="Arial" w:cs="Arial"/>
          <w:sz w:val="20"/>
          <w:szCs w:val="20"/>
        </w:rPr>
        <w:t xml:space="preserve">This publication is further referred to in this policy as </w:t>
      </w:r>
      <w:hyperlink r:id="rId13" w:history="1">
        <w:r>
          <w:rPr>
            <w:rStyle w:val="Hyperlink"/>
            <w:rFonts w:ascii="Arial" w:hAnsi="Arial" w:cs="Arial"/>
            <w:sz w:val="20"/>
            <w:szCs w:val="20"/>
          </w:rPr>
          <w:t>GR</w:t>
        </w:r>
      </w:hyperlink>
    </w:p>
    <w:p w14:paraId="52233456" w14:textId="3F8F9676" w:rsidR="00B14201" w:rsidRDefault="0052628B">
      <w:pPr>
        <w:tabs>
          <w:tab w:val="left" w:pos="10490"/>
        </w:tabs>
        <w:spacing w:before="120" w:after="120" w:line="276" w:lineRule="auto"/>
        <w:ind w:right="-11"/>
        <w:jc w:val="both"/>
        <w:rPr>
          <w:rFonts w:ascii="Arial" w:eastAsia="Times New Roman" w:hAnsi="Arial" w:cs="Arial"/>
          <w:sz w:val="20"/>
          <w:szCs w:val="20"/>
        </w:rPr>
      </w:pPr>
      <w:r>
        <w:rPr>
          <w:rFonts w:ascii="Arial" w:eastAsia="Times New Roman" w:hAnsi="Arial" w:cs="Arial"/>
          <w:sz w:val="20"/>
          <w:szCs w:val="20"/>
        </w:rPr>
        <w:t xml:space="preserve">This policy is maintained and held by the SENCo alongside the individual files/e-folders of each access arrangements candidate. Each file/e-folders contains detailed records of all the essential information that is required to be held according to the regulations. </w:t>
      </w:r>
    </w:p>
    <w:p w14:paraId="52233457" w14:textId="77777777" w:rsidR="00B14201" w:rsidRDefault="0052628B">
      <w:pPr>
        <w:ind w:left="720"/>
        <w:jc w:val="both"/>
        <w:rPr>
          <w:rFonts w:ascii="Arial" w:eastAsia="Times New Roman" w:hAnsi="Arial" w:cs="Arial"/>
          <w:sz w:val="20"/>
          <w:szCs w:val="20"/>
        </w:rPr>
      </w:pPr>
      <w:r>
        <w:rPr>
          <w:rFonts w:ascii="Arial" w:eastAsia="Times New Roman" w:hAnsi="Arial" w:cs="Arial"/>
          <w:sz w:val="20"/>
          <w:szCs w:val="20"/>
        </w:rPr>
        <w:t xml:space="preserve">Where the SENCo is storing access arrangements documentation electronically he/she </w:t>
      </w:r>
      <w:r>
        <w:rPr>
          <w:rFonts w:ascii="Arial" w:eastAsia="Times New Roman" w:hAnsi="Arial" w:cs="Arial"/>
          <w:b/>
          <w:bCs/>
          <w:sz w:val="20"/>
          <w:szCs w:val="20"/>
        </w:rPr>
        <w:t xml:space="preserve">must </w:t>
      </w:r>
      <w:r>
        <w:rPr>
          <w:rFonts w:ascii="Arial" w:eastAsia="Times New Roman" w:hAnsi="Arial" w:cs="Arial"/>
          <w:sz w:val="20"/>
          <w:szCs w:val="20"/>
        </w:rPr>
        <w:t xml:space="preserve">create an e-folder for each individual candidate. The candidate’s e-folder must hold each of the required documents for inspection. </w:t>
      </w:r>
      <w:r>
        <w:rPr>
          <w:rFonts w:ascii="Arial" w:hAnsi="Arial" w:cs="Arial"/>
          <w:sz w:val="20"/>
          <w:szCs w:val="20"/>
        </w:rPr>
        <w:t>(</w:t>
      </w:r>
      <w:hyperlink r:id="rId14" w:history="1">
        <w:r>
          <w:rPr>
            <w:rStyle w:val="Hyperlink"/>
            <w:rFonts w:ascii="Arial" w:hAnsi="Arial" w:cs="Arial"/>
            <w:sz w:val="20"/>
            <w:szCs w:val="20"/>
          </w:rPr>
          <w:t>AA</w:t>
        </w:r>
      </w:hyperlink>
      <w:r>
        <w:rPr>
          <w:rFonts w:ascii="Arial" w:hAnsi="Arial" w:cs="Arial"/>
          <w:sz w:val="20"/>
          <w:szCs w:val="20"/>
        </w:rPr>
        <w:t xml:space="preserve"> 4.2)</w:t>
      </w:r>
      <w:r>
        <w:rPr>
          <w:rFonts w:ascii="Arial" w:hAnsi="Arial" w:cs="Arial"/>
          <w:b/>
          <w:bCs/>
          <w:sz w:val="20"/>
          <w:szCs w:val="20"/>
        </w:rPr>
        <w:t xml:space="preserve">  </w:t>
      </w:r>
    </w:p>
    <w:p w14:paraId="52233458" w14:textId="77777777" w:rsidR="00B14201" w:rsidRDefault="00B14201">
      <w:pPr>
        <w:tabs>
          <w:tab w:val="left" w:pos="10490"/>
        </w:tabs>
        <w:spacing w:before="120" w:after="120" w:line="276" w:lineRule="auto"/>
        <w:ind w:right="-11"/>
        <w:jc w:val="both"/>
        <w:rPr>
          <w:rFonts w:ascii="Arial" w:eastAsia="Times New Roman" w:hAnsi="Arial" w:cs="Arial"/>
          <w:sz w:val="20"/>
          <w:szCs w:val="20"/>
        </w:rPr>
      </w:pPr>
    </w:p>
    <w:p w14:paraId="52233459" w14:textId="77777777" w:rsidR="00B14201" w:rsidRDefault="0052628B">
      <w:pPr>
        <w:autoSpaceDE w:val="0"/>
        <w:autoSpaceDN w:val="0"/>
        <w:adjustRightInd w:val="0"/>
        <w:spacing w:before="120" w:line="276" w:lineRule="auto"/>
        <w:jc w:val="both"/>
        <w:rPr>
          <w:rFonts w:ascii="Arial" w:hAnsi="Arial" w:cs="Arial"/>
          <w:sz w:val="20"/>
          <w:szCs w:val="20"/>
        </w:rPr>
      </w:pPr>
      <w:r>
        <w:rPr>
          <w:rFonts w:ascii="Arial" w:hAnsi="Arial" w:cs="Arial"/>
          <w:sz w:val="20"/>
          <w:szCs w:val="20"/>
        </w:rPr>
        <w:t xml:space="preserve">The policy is annually reviewed to ensure that processes are carried out in accordance with the current edition of the JCQ publication </w:t>
      </w:r>
      <w:r>
        <w:rPr>
          <w:rFonts w:ascii="Arial" w:hAnsi="Arial" w:cs="Arial"/>
          <w:bCs/>
          <w:sz w:val="20"/>
          <w:szCs w:val="20"/>
        </w:rPr>
        <w:t>Adjustments for candidates with disabilities and learning difficulties</w:t>
      </w:r>
      <w:r>
        <w:rPr>
          <w:rFonts w:ascii="Arial" w:hAnsi="Arial" w:cs="Arial"/>
          <w:sz w:val="20"/>
          <w:szCs w:val="20"/>
        </w:rPr>
        <w:t xml:space="preserve"> </w:t>
      </w:r>
      <w:r>
        <w:rPr>
          <w:rFonts w:ascii="Arial" w:hAnsi="Arial" w:cs="Arial"/>
          <w:bCs/>
          <w:sz w:val="20"/>
          <w:szCs w:val="20"/>
        </w:rPr>
        <w:t>Access Arrangements and Reasonable Adjustments.</w:t>
      </w:r>
    </w:p>
    <w:p w14:paraId="5223345A" w14:textId="77777777" w:rsidR="00B14201" w:rsidRDefault="0052628B">
      <w:pPr>
        <w:spacing w:before="120" w:after="120" w:line="276" w:lineRule="auto"/>
        <w:jc w:val="right"/>
        <w:rPr>
          <w:rStyle w:val="Hyperlink"/>
          <w:rFonts w:ascii="Arial" w:hAnsi="Arial" w:cs="Arial"/>
          <w:sz w:val="20"/>
          <w:szCs w:val="20"/>
        </w:rPr>
      </w:pPr>
      <w:r>
        <w:rPr>
          <w:rFonts w:ascii="Arial" w:hAnsi="Arial" w:cs="Arial"/>
          <w:bCs/>
          <w:sz w:val="20"/>
          <w:szCs w:val="20"/>
        </w:rPr>
        <w:t xml:space="preserve">This publication is further referred to in this policy as </w:t>
      </w:r>
      <w:hyperlink r:id="rId15" w:history="1">
        <w:r>
          <w:rPr>
            <w:rStyle w:val="Hyperlink"/>
            <w:rFonts w:ascii="Arial" w:hAnsi="Arial" w:cs="Arial"/>
            <w:sz w:val="20"/>
            <w:szCs w:val="20"/>
          </w:rPr>
          <w:t>AA</w:t>
        </w:r>
      </w:hyperlink>
    </w:p>
    <w:p w14:paraId="5223345B" w14:textId="77777777" w:rsidR="00B14201" w:rsidRDefault="00B14201">
      <w:pPr>
        <w:spacing w:before="120" w:after="120" w:line="276" w:lineRule="auto"/>
        <w:jc w:val="right"/>
        <w:rPr>
          <w:rStyle w:val="Hyperlink"/>
          <w:rFonts w:ascii="Arial" w:hAnsi="Arial" w:cs="Arial"/>
        </w:rPr>
      </w:pPr>
    </w:p>
    <w:p w14:paraId="5223345C" w14:textId="77777777" w:rsidR="00B14201" w:rsidRDefault="00B14201">
      <w:pPr>
        <w:spacing w:before="120" w:after="120" w:line="276" w:lineRule="auto"/>
        <w:jc w:val="right"/>
        <w:rPr>
          <w:rFonts w:ascii="Arial" w:hAnsi="Arial" w:cs="Arial"/>
        </w:rPr>
      </w:pPr>
    </w:p>
    <w:p w14:paraId="5223345D" w14:textId="77777777" w:rsidR="00B14201" w:rsidRDefault="0052628B">
      <w:pPr>
        <w:pStyle w:val="Headinglevel1"/>
        <w:spacing w:before="240" w:line="276" w:lineRule="auto"/>
        <w:rPr>
          <w:rFonts w:cs="Arial"/>
        </w:rPr>
      </w:pPr>
      <w:bookmarkStart w:id="21" w:name="_Toc51674458"/>
      <w:r>
        <w:rPr>
          <w:rFonts w:cs="Arial"/>
        </w:rPr>
        <w:lastRenderedPageBreak/>
        <w:t>General principles</w:t>
      </w:r>
      <w:bookmarkEnd w:id="21"/>
    </w:p>
    <w:p w14:paraId="5223345E" w14:textId="77777777" w:rsidR="00B14201" w:rsidRDefault="0052628B">
      <w:pPr>
        <w:spacing w:line="276" w:lineRule="auto"/>
        <w:jc w:val="both"/>
        <w:rPr>
          <w:rFonts w:ascii="Arial" w:eastAsia="Times New Roman" w:hAnsi="Arial" w:cs="Arial"/>
          <w:sz w:val="20"/>
          <w:szCs w:val="20"/>
        </w:rPr>
      </w:pPr>
      <w:r>
        <w:rPr>
          <w:rFonts w:ascii="Arial" w:hAnsi="Arial" w:cs="Arial"/>
          <w:sz w:val="20"/>
          <w:szCs w:val="20"/>
        </w:rPr>
        <w:t xml:space="preserve">The general principles of access arrangements for the centre to consider are detailed in </w:t>
      </w:r>
      <w:hyperlink r:id="rId16" w:history="1">
        <w:r>
          <w:rPr>
            <w:rStyle w:val="Hyperlink"/>
            <w:rFonts w:ascii="Arial" w:hAnsi="Arial" w:cs="Arial"/>
            <w:sz w:val="20"/>
            <w:szCs w:val="20"/>
          </w:rPr>
          <w:t>AA</w:t>
        </w:r>
      </w:hyperlink>
      <w:r>
        <w:rPr>
          <w:rFonts w:ascii="Arial" w:hAnsi="Arial" w:cs="Arial"/>
          <w:sz w:val="20"/>
          <w:szCs w:val="20"/>
        </w:rPr>
        <w:t xml:space="preserve"> (section 4.2). These include:</w:t>
      </w:r>
    </w:p>
    <w:p w14:paraId="5223345F" w14:textId="77777777" w:rsidR="00B14201" w:rsidRDefault="0052628B">
      <w:pPr>
        <w:ind w:left="720"/>
        <w:jc w:val="both"/>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The purpose of an access arrangement is to ensure, where possible, that barriers to assessment are removed for a disabled candidate preventing him/her from being placed at a substantial disadvantage due to persistent and significant difficulties. The integrity of the assessment is maintained, whilst at the same time providing access to assessments for a disabled candidate. </w:t>
      </w:r>
    </w:p>
    <w:p w14:paraId="52233460" w14:textId="77777777" w:rsidR="00B14201" w:rsidRDefault="0052628B">
      <w:pPr>
        <w:ind w:left="720"/>
        <w:jc w:val="both"/>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The SENCo, or an equivalent member of staff within a FE college, must ensure that the proposed access arrangement does not disadvantage or advantage the candidate.</w:t>
      </w:r>
    </w:p>
    <w:p w14:paraId="52233461" w14:textId="77777777" w:rsidR="00B14201" w:rsidRDefault="0052628B">
      <w:pPr>
        <w:ind w:left="720"/>
        <w:jc w:val="both"/>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 xml:space="preserve">Arrangements must always be approved before an examination or assessment. </w:t>
      </w:r>
    </w:p>
    <w:p w14:paraId="52233462" w14:textId="77777777" w:rsidR="00B14201" w:rsidRDefault="0052628B">
      <w:pPr>
        <w:ind w:left="720"/>
        <w:jc w:val="both"/>
        <w:rPr>
          <w:rFonts w:ascii="Arial" w:eastAsia="Times New Roman" w:hAnsi="Arial" w:cs="Arial"/>
          <w:color w:val="595959" w:themeColor="text1" w:themeTint="A6"/>
          <w:sz w:val="20"/>
          <w:szCs w:val="20"/>
        </w:rPr>
      </w:pPr>
      <w:r>
        <w:rPr>
          <w:rFonts w:ascii="Arial" w:eastAsia="Times New Roman" w:hAnsi="Arial" w:cs="Arial"/>
          <w:color w:val="595959" w:themeColor="text1" w:themeTint="A6"/>
          <w:sz w:val="20"/>
          <w:szCs w:val="20"/>
        </w:rPr>
        <w:t>The arrangement(s) put in place must reflect the support given to the candidate in the centre.</w:t>
      </w:r>
    </w:p>
    <w:p w14:paraId="52233463" w14:textId="77777777" w:rsidR="00B14201" w:rsidRDefault="0052628B">
      <w:pPr>
        <w:ind w:left="720"/>
        <w:jc w:val="both"/>
        <w:rPr>
          <w:rFonts w:ascii="Arial" w:eastAsia="Times New Roman" w:hAnsi="Arial" w:cs="Arial"/>
          <w:color w:val="595959" w:themeColor="text1" w:themeTint="A6"/>
          <w:sz w:val="20"/>
          <w:szCs w:val="20"/>
        </w:rPr>
      </w:pPr>
      <w:r>
        <w:rPr>
          <w:rFonts w:ascii="Arial" w:hAnsi="Arial" w:cs="Arial"/>
          <w:color w:val="595959" w:themeColor="text1" w:themeTint="A6"/>
          <w:sz w:val="20"/>
          <w:szCs w:val="20"/>
        </w:rPr>
        <w:t xml:space="preserve">The candidate </w:t>
      </w:r>
      <w:r>
        <w:rPr>
          <w:rFonts w:ascii="Arial" w:hAnsi="Arial" w:cs="Arial"/>
          <w:b/>
          <w:bCs/>
          <w:color w:val="595959" w:themeColor="text1" w:themeTint="A6"/>
          <w:sz w:val="20"/>
          <w:szCs w:val="20"/>
        </w:rPr>
        <w:t xml:space="preserve">must </w:t>
      </w:r>
      <w:r>
        <w:rPr>
          <w:rFonts w:ascii="Arial" w:hAnsi="Arial" w:cs="Arial"/>
          <w:color w:val="595959" w:themeColor="text1" w:themeTint="A6"/>
          <w:sz w:val="20"/>
          <w:szCs w:val="20"/>
        </w:rPr>
        <w:t xml:space="preserve">have had appropriate opportunities to practise using the access arrangement(s) before his/her first examination. </w:t>
      </w:r>
    </w:p>
    <w:p w14:paraId="52233464" w14:textId="77777777" w:rsidR="00B14201" w:rsidRDefault="0052628B">
      <w:pPr>
        <w:pStyle w:val="Headinglevel1"/>
        <w:spacing w:before="240" w:line="276" w:lineRule="auto"/>
        <w:rPr>
          <w:rFonts w:cs="Arial"/>
        </w:rPr>
      </w:pPr>
      <w:r>
        <w:rPr>
          <w:rFonts w:cs="Arial"/>
        </w:rPr>
        <w:t>Equalities Policy (Exams)</w:t>
      </w:r>
      <w:bookmarkEnd w:id="16"/>
      <w:bookmarkEnd w:id="17"/>
      <w:bookmarkEnd w:id="18"/>
    </w:p>
    <w:p w14:paraId="52233465" w14:textId="77777777" w:rsidR="00B14201" w:rsidRDefault="0052628B">
      <w:pPr>
        <w:spacing w:line="276" w:lineRule="auto"/>
        <w:jc w:val="both"/>
        <w:rPr>
          <w:rFonts w:ascii="Arial" w:hAnsi="Arial" w:cs="Arial"/>
        </w:rPr>
      </w:pPr>
      <w:r>
        <w:rPr>
          <w:rFonts w:ascii="Arial" w:hAnsi="Arial" w:cs="Arial"/>
        </w:rPr>
        <w:t>A large part of the access arrangements process is covered in the Equalities Policy (Exams) which covers staff roles and responsibilities in identifying the need for, requesting and implementing access arrangements and the conduct of exams.</w:t>
      </w:r>
    </w:p>
    <w:tbl>
      <w:tblPr>
        <w:tblStyle w:val="TableGrid"/>
        <w:tblW w:w="0" w:type="auto"/>
        <w:tblInd w:w="720" w:type="dxa"/>
        <w:tblLook w:val="04A0" w:firstRow="1" w:lastRow="0" w:firstColumn="1" w:lastColumn="0" w:noHBand="0" w:noVBand="1"/>
      </w:tblPr>
      <w:tblGrid>
        <w:gridCol w:w="8290"/>
      </w:tblGrid>
      <w:tr w:rsidR="00B14201" w14:paraId="5223346A" w14:textId="77777777">
        <w:tc>
          <w:tcPr>
            <w:tcW w:w="9548" w:type="dxa"/>
          </w:tcPr>
          <w:p w14:paraId="52233466" w14:textId="77777777" w:rsidR="00B14201" w:rsidRPr="00792FFD" w:rsidRDefault="0052628B">
            <w:pPr>
              <w:spacing w:before="120" w:after="120" w:line="276" w:lineRule="auto"/>
              <w:jc w:val="both"/>
              <w:rPr>
                <w:rFonts w:ascii="Arial" w:hAnsi="Arial" w:cs="Arial"/>
                <w:i/>
                <w:iCs/>
              </w:rPr>
            </w:pPr>
            <w:r w:rsidRPr="00792FFD">
              <w:rPr>
                <w:rFonts w:ascii="Arial" w:hAnsi="Arial" w:cs="Arial"/>
                <w:i/>
                <w:iCs/>
              </w:rPr>
              <w:t>See Equalities Policy</w:t>
            </w:r>
          </w:p>
          <w:p w14:paraId="52233467" w14:textId="77777777" w:rsidR="00B14201" w:rsidRDefault="0052628B">
            <w:pPr>
              <w:jc w:val="both"/>
              <w:rPr>
                <w:rFonts w:ascii="Arial" w:hAnsi="Arial" w:cs="Arial"/>
                <w:color w:val="595959" w:themeColor="text1" w:themeTint="A6"/>
              </w:rPr>
            </w:pPr>
            <w:r>
              <w:rPr>
                <w:rFonts w:ascii="Arial" w:hAnsi="Arial" w:cs="Arial"/>
                <w:b/>
                <w:bCs/>
                <w:color w:val="595959" w:themeColor="text1" w:themeTint="A6"/>
              </w:rPr>
              <w:t>The head of centre/senior leadership team will</w:t>
            </w:r>
            <w:r>
              <w:rPr>
                <w:rFonts w:ascii="Arial" w:hAnsi="Arial" w:cs="Arial"/>
                <w:color w:val="595959" w:themeColor="text1" w:themeTint="A6"/>
              </w:rPr>
              <w:t xml:space="preserve">… recognise its duties towards disabled candidates, including private candidates, as defined under the terms of the Equality Act 2010†. This </w:t>
            </w:r>
            <w:r>
              <w:rPr>
                <w:rFonts w:ascii="Arial" w:hAnsi="Arial" w:cs="Arial"/>
                <w:b/>
                <w:bCs/>
                <w:color w:val="595959" w:themeColor="text1" w:themeTint="A6"/>
              </w:rPr>
              <w:t xml:space="preserve">must </w:t>
            </w:r>
            <w:r>
              <w:rPr>
                <w:rFonts w:ascii="Arial" w:hAnsi="Arial" w:cs="Arial"/>
                <w:color w:val="595959" w:themeColor="text1" w:themeTint="A6"/>
              </w:rPr>
              <w:t xml:space="preserve">include a duty to explore and provide access to suitable courses, through the access arrangements process submit applications for reasonable adjustments and make reasonable adjustments to the service the centre provides to disabled candidates… </w:t>
            </w:r>
          </w:p>
          <w:p w14:paraId="52233468" w14:textId="77777777" w:rsidR="00B14201" w:rsidRDefault="0052628B">
            <w:pPr>
              <w:spacing w:before="120" w:after="120" w:line="276" w:lineRule="auto"/>
              <w:jc w:val="both"/>
              <w:rPr>
                <w:rFonts w:ascii="Arial" w:hAnsi="Arial" w:cs="Arial"/>
              </w:rPr>
            </w:pPr>
            <w:r>
              <w:rPr>
                <w:rFonts w:ascii="Arial" w:hAnsi="Arial" w:cs="Arial"/>
                <w:color w:val="595959" w:themeColor="text1" w:themeTint="A6"/>
              </w:rPr>
              <w:t xml:space="preserve">†or any legislation in a relevant jurisdiction other than England and Wales which has an equivalent purpose and effect </w:t>
            </w:r>
            <w:r>
              <w:rPr>
                <w:rFonts w:ascii="Arial" w:hAnsi="Arial" w:cs="Arial"/>
              </w:rPr>
              <w:t>(</w:t>
            </w:r>
            <w:hyperlink r:id="rId17" w:history="1">
              <w:r>
                <w:rPr>
                  <w:rStyle w:val="Hyperlink"/>
                  <w:rFonts w:ascii="Arial" w:hAnsi="Arial" w:cs="Arial"/>
                </w:rPr>
                <w:t>GR</w:t>
              </w:r>
            </w:hyperlink>
            <w:r>
              <w:rPr>
                <w:rFonts w:ascii="Arial" w:hAnsi="Arial" w:cs="Arial"/>
              </w:rPr>
              <w:t xml:space="preserve"> 5.4)                                                                                                                              </w:t>
            </w:r>
          </w:p>
          <w:p w14:paraId="52233469" w14:textId="77777777" w:rsidR="00B14201" w:rsidRDefault="0052628B">
            <w:pPr>
              <w:spacing w:before="120" w:after="120" w:line="276" w:lineRule="auto"/>
              <w:jc w:val="both"/>
              <w:rPr>
                <w:rFonts w:ascii="Arial" w:hAnsi="Arial" w:cs="Arial"/>
                <w:i/>
              </w:rPr>
            </w:pPr>
            <w:r>
              <w:rPr>
                <w:rFonts w:ascii="Arial" w:hAnsi="Arial" w:cs="Arial"/>
              </w:rPr>
              <w:t xml:space="preserve"> </w:t>
            </w:r>
          </w:p>
        </w:tc>
      </w:tr>
    </w:tbl>
    <w:p w14:paraId="5223346B" w14:textId="77777777" w:rsidR="00B14201" w:rsidRDefault="0052628B">
      <w:pPr>
        <w:spacing w:before="120" w:after="120" w:line="276" w:lineRule="auto"/>
        <w:jc w:val="both"/>
        <w:rPr>
          <w:rFonts w:ascii="Arial" w:hAnsi="Arial" w:cs="Arial"/>
        </w:rPr>
      </w:pPr>
      <w:bookmarkStart w:id="22" w:name="_Toc443593725"/>
      <w:r>
        <w:rPr>
          <w:rFonts w:ascii="Arial" w:hAnsi="Arial" w:cs="Arial"/>
        </w:rPr>
        <w:t xml:space="preserve">The Access </w:t>
      </w:r>
      <w:r>
        <w:rPr>
          <w:rFonts w:ascii="Arial" w:hAnsi="Arial" w:cs="Arial"/>
          <w:caps/>
        </w:rPr>
        <w:t>A</w:t>
      </w:r>
      <w:r>
        <w:rPr>
          <w:rFonts w:ascii="Arial" w:hAnsi="Arial" w:cs="Arial"/>
        </w:rPr>
        <w:t>rrangements policy further covers the assessment process and related issues in more detail.</w:t>
      </w:r>
    </w:p>
    <w:p w14:paraId="5223346C" w14:textId="2535EA29" w:rsidR="00B14201" w:rsidRDefault="0052628B">
      <w:pPr>
        <w:pStyle w:val="Headinglevel1"/>
        <w:spacing w:before="240" w:line="276" w:lineRule="auto"/>
        <w:rPr>
          <w:rFonts w:cs="Arial"/>
        </w:rPr>
      </w:pPr>
      <w:bookmarkStart w:id="23" w:name="_Toc466921631"/>
      <w:bookmarkStart w:id="24" w:name="_Toc490083855"/>
      <w:bookmarkStart w:id="25" w:name="_Toc496088794"/>
      <w:bookmarkStart w:id="26" w:name="_Toc523473885"/>
      <w:r>
        <w:rPr>
          <w:rFonts w:cs="Arial"/>
        </w:rPr>
        <w:t>The assessment process</w:t>
      </w:r>
      <w:bookmarkEnd w:id="22"/>
      <w:bookmarkEnd w:id="23"/>
      <w:bookmarkEnd w:id="24"/>
      <w:bookmarkEnd w:id="25"/>
      <w:bookmarkEnd w:id="26"/>
    </w:p>
    <w:p w14:paraId="5223346D" w14:textId="77777777" w:rsidR="00B14201" w:rsidRDefault="0052628B">
      <w:pPr>
        <w:spacing w:before="120" w:after="120" w:line="276" w:lineRule="auto"/>
        <w:jc w:val="both"/>
        <w:rPr>
          <w:rFonts w:ascii="Arial" w:hAnsi="Arial" w:cs="Arial"/>
        </w:rPr>
      </w:pPr>
      <w:r>
        <w:rPr>
          <w:rFonts w:ascii="Arial" w:hAnsi="Arial" w:cs="Arial"/>
        </w:rPr>
        <w:t xml:space="preserve">Assessments are carried out by an assessor(s) appointed by the head of centre.  The assessor is appropriately qualified as required by JCQ regulations in </w:t>
      </w:r>
      <w:hyperlink r:id="rId18" w:history="1">
        <w:r>
          <w:rPr>
            <w:rStyle w:val="Hyperlink"/>
            <w:rFonts w:ascii="Arial" w:hAnsi="Arial" w:cs="Arial"/>
          </w:rPr>
          <w:t>AA</w:t>
        </w:r>
      </w:hyperlink>
      <w:r>
        <w:rPr>
          <w:rFonts w:ascii="Arial" w:hAnsi="Arial" w:cs="Arial"/>
        </w:rPr>
        <w:t xml:space="preserve"> 7.3.</w:t>
      </w:r>
    </w:p>
    <w:p w14:paraId="5223346E" w14:textId="77777777" w:rsidR="00B14201" w:rsidRDefault="0052628B">
      <w:pPr>
        <w:pStyle w:val="Headinglevel2"/>
        <w:spacing w:before="240" w:after="120" w:line="276" w:lineRule="auto"/>
        <w:rPr>
          <w:rFonts w:cs="Arial"/>
        </w:rPr>
      </w:pPr>
      <w:bookmarkStart w:id="27" w:name="_Toc490083856"/>
      <w:bookmarkStart w:id="28" w:name="_Toc496088795"/>
      <w:bookmarkStart w:id="29" w:name="_Toc523473886"/>
      <w:r>
        <w:rPr>
          <w:rFonts w:cs="Arial"/>
        </w:rPr>
        <w:t>The qualification(s) of the current assessor(s)</w:t>
      </w:r>
      <w:bookmarkEnd w:id="27"/>
      <w:bookmarkEnd w:id="28"/>
      <w:bookmarkEnd w:id="29"/>
      <w:r>
        <w:rPr>
          <w:rFonts w:cs="Arial"/>
        </w:rPr>
        <w:t xml:space="preserve"> </w:t>
      </w:r>
    </w:p>
    <w:tbl>
      <w:tblPr>
        <w:tblStyle w:val="TableGrid"/>
        <w:tblW w:w="0" w:type="auto"/>
        <w:tblInd w:w="720" w:type="dxa"/>
        <w:tblLook w:val="04A0" w:firstRow="1" w:lastRow="0" w:firstColumn="1" w:lastColumn="0" w:noHBand="0" w:noVBand="1"/>
      </w:tblPr>
      <w:tblGrid>
        <w:gridCol w:w="8290"/>
      </w:tblGrid>
      <w:tr w:rsidR="00B14201" w14:paraId="52233470" w14:textId="77777777">
        <w:tc>
          <w:tcPr>
            <w:tcW w:w="9548" w:type="dxa"/>
          </w:tcPr>
          <w:p w14:paraId="5223346F" w14:textId="77777777" w:rsidR="00B14201" w:rsidRPr="007410F8" w:rsidRDefault="007410F8">
            <w:pPr>
              <w:spacing w:before="120" w:after="120" w:line="276" w:lineRule="auto"/>
              <w:jc w:val="both"/>
              <w:rPr>
                <w:rFonts w:ascii="Arial" w:hAnsi="Arial" w:cs="Arial"/>
                <w:bCs/>
                <w:i/>
                <w:sz w:val="24"/>
                <w:szCs w:val="24"/>
                <w:highlight w:val="yellow"/>
              </w:rPr>
            </w:pPr>
            <w:r w:rsidRPr="007410F8">
              <w:rPr>
                <w:rFonts w:ascii="Arial" w:hAnsi="Arial" w:cs="Arial"/>
                <w:sz w:val="24"/>
                <w:szCs w:val="24"/>
              </w:rPr>
              <w:t>CCET &amp; CPT3 obtained through REAL Training</w:t>
            </w:r>
          </w:p>
        </w:tc>
      </w:tr>
    </w:tbl>
    <w:p w14:paraId="52233471" w14:textId="77777777" w:rsidR="00B14201" w:rsidRDefault="0052628B">
      <w:pPr>
        <w:pStyle w:val="Headinglevel2"/>
        <w:spacing w:before="240" w:after="120" w:line="276" w:lineRule="auto"/>
        <w:rPr>
          <w:rFonts w:cs="Arial"/>
        </w:rPr>
      </w:pPr>
      <w:bookmarkStart w:id="30" w:name="_Toc523473887"/>
      <w:bookmarkStart w:id="31" w:name="_Toc466921632"/>
      <w:bookmarkStart w:id="32" w:name="_Toc490083857"/>
      <w:bookmarkStart w:id="33" w:name="_Toc496088796"/>
      <w:r>
        <w:rPr>
          <w:rFonts w:cs="Arial"/>
        </w:rPr>
        <w:t>Appointment of assessors of candidates with learning difficulties</w:t>
      </w:r>
      <w:bookmarkEnd w:id="30"/>
    </w:p>
    <w:p w14:paraId="52233472" w14:textId="77777777" w:rsidR="00B14201" w:rsidRDefault="0052628B">
      <w:pPr>
        <w:spacing w:line="276" w:lineRule="auto"/>
        <w:jc w:val="both"/>
        <w:rPr>
          <w:rFonts w:ascii="Arial" w:hAnsi="Arial" w:cs="Arial"/>
        </w:rPr>
      </w:pPr>
      <w:r>
        <w:rPr>
          <w:rFonts w:ascii="Arial" w:hAnsi="Arial" w:cs="Arial"/>
        </w:rPr>
        <w:t xml:space="preserve">At the point an assessor is engaged/employed in the centre, evidence of the assessor’s qualification is obtained and checked against the current requirements in </w:t>
      </w:r>
      <w:hyperlink r:id="rId19" w:history="1">
        <w:r>
          <w:rPr>
            <w:rStyle w:val="Hyperlink"/>
            <w:rFonts w:ascii="Arial" w:hAnsi="Arial" w:cs="Arial"/>
          </w:rPr>
          <w:t>AA</w:t>
        </w:r>
      </w:hyperlink>
      <w:r>
        <w:rPr>
          <w:rFonts w:ascii="Arial" w:hAnsi="Arial" w:cs="Arial"/>
        </w:rPr>
        <w:t xml:space="preserve">. This process is carried out prior to the assessor undertaking any assessment of a candidate. </w:t>
      </w:r>
    </w:p>
    <w:p w14:paraId="52233473" w14:textId="77777777" w:rsidR="00B14201" w:rsidRDefault="0052628B">
      <w:pPr>
        <w:rPr>
          <w:rFonts w:ascii="Arial" w:hAnsi="Arial" w:cs="Arial"/>
          <w:b/>
        </w:rPr>
      </w:pPr>
      <w:r>
        <w:rPr>
          <w:rFonts w:ascii="Arial" w:hAnsi="Arial" w:cs="Arial"/>
          <w:b/>
        </w:rPr>
        <w:lastRenderedPageBreak/>
        <w:t>Checking the qualification(s) of the assessor(s)</w:t>
      </w:r>
      <w:bookmarkEnd w:id="31"/>
      <w:bookmarkEnd w:id="32"/>
      <w:bookmarkEnd w:id="33"/>
      <w:r>
        <w:rPr>
          <w:rFonts w:ascii="Arial" w:hAnsi="Arial" w:cs="Arial"/>
          <w:b/>
        </w:rPr>
        <w:t xml:space="preserve"> </w:t>
      </w:r>
    </w:p>
    <w:tbl>
      <w:tblPr>
        <w:tblStyle w:val="TableGrid"/>
        <w:tblW w:w="0" w:type="auto"/>
        <w:tblInd w:w="720" w:type="dxa"/>
        <w:tblLook w:val="04A0" w:firstRow="1" w:lastRow="0" w:firstColumn="1" w:lastColumn="0" w:noHBand="0" w:noVBand="1"/>
      </w:tblPr>
      <w:tblGrid>
        <w:gridCol w:w="8290"/>
      </w:tblGrid>
      <w:tr w:rsidR="00B14201" w14:paraId="52233479" w14:textId="77777777">
        <w:tc>
          <w:tcPr>
            <w:tcW w:w="8296" w:type="dxa"/>
          </w:tcPr>
          <w:p w14:paraId="52233474" w14:textId="6D5DE635" w:rsidR="00B14201" w:rsidRDefault="0052628B">
            <w:pPr>
              <w:spacing w:before="120" w:after="120" w:line="276" w:lineRule="auto"/>
              <w:jc w:val="both"/>
              <w:rPr>
                <w:rFonts w:ascii="Arial" w:hAnsi="Arial" w:cs="Arial"/>
              </w:rPr>
            </w:pPr>
            <w:r>
              <w:rPr>
                <w:rFonts w:ascii="Arial" w:hAnsi="Arial" w:cs="Arial"/>
              </w:rPr>
              <w:t xml:space="preserve">Certificate is checked by </w:t>
            </w:r>
            <w:r w:rsidR="00380617">
              <w:rPr>
                <w:rFonts w:ascii="Arial" w:hAnsi="Arial" w:cs="Arial"/>
              </w:rPr>
              <w:t>Head of Centre</w:t>
            </w:r>
            <w:r>
              <w:rPr>
                <w:rFonts w:ascii="Arial" w:hAnsi="Arial" w:cs="Arial"/>
              </w:rPr>
              <w:t xml:space="preserve"> on an annual basis.  Copy of certificate is kept in Access Arrangements file.</w:t>
            </w:r>
          </w:p>
          <w:p w14:paraId="52233475" w14:textId="77777777" w:rsidR="00B14201" w:rsidRDefault="0052628B">
            <w:pPr>
              <w:pBdr>
                <w:left w:val="single" w:sz="8" w:space="4" w:color="FFC000"/>
              </w:pBdr>
              <w:ind w:right="159"/>
              <w:rPr>
                <w:rFonts w:ascii="Arial" w:hAnsi="Arial" w:cs="Arial"/>
                <w:sz w:val="18"/>
                <w:szCs w:val="18"/>
              </w:rPr>
            </w:pPr>
            <w:r>
              <w:rPr>
                <w:rFonts w:ascii="Arial" w:hAnsi="Arial" w:cs="Arial"/>
                <w:b/>
                <w:bCs/>
                <w:color w:val="595959" w:themeColor="text1" w:themeTint="A6"/>
                <w:sz w:val="18"/>
                <w:szCs w:val="18"/>
              </w:rPr>
              <w:t>The head of centre/senior leadership team will</w:t>
            </w:r>
            <w:r>
              <w:rPr>
                <w:rFonts w:ascii="Arial" w:hAnsi="Arial" w:cs="Arial"/>
                <w:color w:val="595959" w:themeColor="text1" w:themeTint="A6"/>
                <w:sz w:val="18"/>
                <w:szCs w:val="18"/>
              </w:rPr>
              <w:t xml:space="preserve">… have a </w:t>
            </w:r>
            <w:r>
              <w:rPr>
                <w:rFonts w:ascii="Arial" w:hAnsi="Arial" w:cs="Arial"/>
                <w:b/>
                <w:bCs/>
                <w:color w:val="595959" w:themeColor="text1" w:themeTint="A6"/>
                <w:sz w:val="18"/>
                <w:szCs w:val="18"/>
              </w:rPr>
              <w:t xml:space="preserve">written </w:t>
            </w:r>
            <w:r>
              <w:rPr>
                <w:rFonts w:ascii="Arial" w:hAnsi="Arial" w:cs="Arial"/>
                <w:color w:val="595959" w:themeColor="text1" w:themeTint="A6"/>
                <w:sz w:val="18"/>
                <w:szCs w:val="18"/>
              </w:rPr>
              <w:t xml:space="preserve">process in place to not only check the qualification(s) of their assessor(s) but that the correct procedures are followed as in Chapter 7 of the JCQ publication Access Arrangements and Reasonable Adjustments… </w:t>
            </w:r>
            <w:r>
              <w:rPr>
                <w:rFonts w:ascii="Arial" w:hAnsi="Arial" w:cs="Arial"/>
                <w:sz w:val="18"/>
                <w:szCs w:val="18"/>
              </w:rPr>
              <w:t>(</w:t>
            </w:r>
            <w:hyperlink r:id="rId20" w:history="1">
              <w:r>
                <w:rPr>
                  <w:rStyle w:val="Hyperlink"/>
                  <w:rFonts w:ascii="Arial" w:hAnsi="Arial" w:cs="Arial"/>
                  <w:sz w:val="18"/>
                  <w:szCs w:val="18"/>
                </w:rPr>
                <w:t>GR</w:t>
              </w:r>
            </w:hyperlink>
            <w:r>
              <w:rPr>
                <w:rFonts w:ascii="Arial" w:hAnsi="Arial" w:cs="Arial"/>
                <w:sz w:val="18"/>
                <w:szCs w:val="18"/>
              </w:rPr>
              <w:t xml:space="preserve"> 5.4)                                                                                                                                                                                   </w:t>
            </w:r>
          </w:p>
          <w:p w14:paraId="52233476" w14:textId="77777777" w:rsidR="00B14201" w:rsidRDefault="0052628B">
            <w:pPr>
              <w:pBdr>
                <w:left w:val="single" w:sz="8" w:space="4" w:color="FFC000"/>
              </w:pBdr>
              <w:ind w:right="159"/>
              <w:rPr>
                <w:rFonts w:ascii="Arial" w:hAnsi="Arial" w:cs="Arial"/>
                <w:b/>
                <w:bCs/>
                <w:color w:val="595959" w:themeColor="text1" w:themeTint="A6"/>
                <w:sz w:val="18"/>
                <w:szCs w:val="18"/>
              </w:rPr>
            </w:pPr>
            <w:r>
              <w:rPr>
                <w:rFonts w:ascii="Arial" w:hAnsi="Arial" w:cs="Arial"/>
                <w:b/>
                <w:bCs/>
                <w:color w:val="595959" w:themeColor="text1" w:themeTint="A6"/>
                <w:sz w:val="18"/>
                <w:szCs w:val="18"/>
              </w:rPr>
              <w:t xml:space="preserve">The head of centre </w:t>
            </w:r>
            <w:r>
              <w:rPr>
                <w:rFonts w:ascii="Arial" w:hAnsi="Arial" w:cs="Arial"/>
                <w:b/>
                <w:bCs/>
                <w:color w:val="595959" w:themeColor="text1" w:themeTint="A6"/>
                <w:sz w:val="18"/>
                <w:szCs w:val="18"/>
                <w:u w:val="single"/>
              </w:rPr>
              <w:t>must</w:t>
            </w:r>
            <w:r>
              <w:rPr>
                <w:rFonts w:ascii="Arial" w:hAnsi="Arial" w:cs="Arial"/>
                <w:b/>
                <w:bCs/>
                <w:color w:val="595959" w:themeColor="text1" w:themeTint="A6"/>
                <w:sz w:val="18"/>
                <w:szCs w:val="18"/>
              </w:rPr>
              <w:t xml:space="preserve"> ensure that evidence of the assessor’s qualification(s) is obtained </w:t>
            </w:r>
            <w:r>
              <w:rPr>
                <w:rFonts w:ascii="Arial" w:hAnsi="Arial" w:cs="Arial"/>
                <w:b/>
                <w:bCs/>
                <w:color w:val="595959" w:themeColor="text1" w:themeTint="A6"/>
                <w:sz w:val="18"/>
                <w:szCs w:val="18"/>
                <w:u w:val="single"/>
              </w:rPr>
              <w:t>at the point of engagement/employment</w:t>
            </w:r>
            <w:r>
              <w:rPr>
                <w:rFonts w:ascii="Arial" w:hAnsi="Arial" w:cs="Arial"/>
                <w:b/>
                <w:bCs/>
                <w:color w:val="595959" w:themeColor="text1" w:themeTint="A6"/>
                <w:sz w:val="18"/>
                <w:szCs w:val="18"/>
              </w:rPr>
              <w:t xml:space="preserve"> and prior to the assessor undertaking any assessment of a candidate. </w:t>
            </w:r>
          </w:p>
          <w:p w14:paraId="52233477" w14:textId="77777777" w:rsidR="00B14201" w:rsidRDefault="0052628B">
            <w:pPr>
              <w:pBdr>
                <w:left w:val="single" w:sz="8" w:space="4" w:color="FFC000"/>
              </w:pBdr>
              <w:ind w:right="159"/>
              <w:rPr>
                <w:rFonts w:ascii="Arial" w:hAnsi="Arial" w:cs="Arial"/>
                <w:b/>
                <w:bCs/>
                <w:sz w:val="18"/>
                <w:szCs w:val="18"/>
              </w:rPr>
            </w:pPr>
            <w:r>
              <w:rPr>
                <w:rFonts w:ascii="Arial" w:hAnsi="Arial" w:cs="Arial"/>
                <w:b/>
                <w:bCs/>
                <w:color w:val="595959" w:themeColor="text1" w:themeTint="A6"/>
                <w:sz w:val="18"/>
                <w:szCs w:val="18"/>
              </w:rPr>
              <w:t xml:space="preserve">Evidence of the assessor’s qualification(s) </w:t>
            </w:r>
            <w:r>
              <w:rPr>
                <w:rFonts w:ascii="Arial" w:hAnsi="Arial" w:cs="Arial"/>
                <w:b/>
                <w:bCs/>
                <w:color w:val="595959" w:themeColor="text1" w:themeTint="A6"/>
                <w:sz w:val="18"/>
                <w:szCs w:val="18"/>
                <w:u w:val="single"/>
              </w:rPr>
              <w:t>must</w:t>
            </w:r>
            <w:r>
              <w:rPr>
                <w:rFonts w:ascii="Arial" w:hAnsi="Arial" w:cs="Arial"/>
                <w:b/>
                <w:bCs/>
                <w:color w:val="595959" w:themeColor="text1" w:themeTint="A6"/>
                <w:sz w:val="18"/>
                <w:szCs w:val="18"/>
              </w:rPr>
              <w:t xml:space="preserve"> be held on file for inspection purposes and be presented to the JCQ Centre Inspector by the SENCo. </w:t>
            </w:r>
            <w:r>
              <w:rPr>
                <w:rFonts w:ascii="Arial" w:hAnsi="Arial" w:cs="Arial"/>
                <w:sz w:val="18"/>
                <w:szCs w:val="18"/>
              </w:rPr>
              <w:t>(</w:t>
            </w:r>
            <w:hyperlink r:id="rId21" w:history="1">
              <w:r>
                <w:rPr>
                  <w:rStyle w:val="Hyperlink"/>
                  <w:rFonts w:ascii="Arial" w:hAnsi="Arial" w:cs="Arial"/>
                  <w:sz w:val="18"/>
                  <w:szCs w:val="18"/>
                </w:rPr>
                <w:t>AA</w:t>
              </w:r>
            </w:hyperlink>
            <w:r>
              <w:rPr>
                <w:rFonts w:ascii="Arial" w:hAnsi="Arial" w:cs="Arial"/>
                <w:sz w:val="18"/>
                <w:szCs w:val="18"/>
              </w:rPr>
              <w:t xml:space="preserve"> 7.3)</w:t>
            </w:r>
            <w:r>
              <w:rPr>
                <w:rFonts w:ascii="Arial" w:hAnsi="Arial" w:cs="Arial"/>
                <w:b/>
                <w:bCs/>
                <w:sz w:val="18"/>
                <w:szCs w:val="18"/>
              </w:rPr>
              <w:t xml:space="preserve">  </w:t>
            </w:r>
          </w:p>
          <w:p w14:paraId="52233478" w14:textId="77777777" w:rsidR="00B14201" w:rsidRDefault="00B14201">
            <w:pPr>
              <w:spacing w:before="120" w:after="120"/>
              <w:ind w:left="84"/>
              <w:jc w:val="both"/>
              <w:rPr>
                <w:rFonts w:ascii="Arial" w:hAnsi="Arial" w:cs="Arial"/>
              </w:rPr>
            </w:pPr>
          </w:p>
        </w:tc>
      </w:tr>
    </w:tbl>
    <w:p w14:paraId="5223347A" w14:textId="77777777" w:rsidR="00B14201" w:rsidRDefault="00B14201">
      <w:pPr>
        <w:rPr>
          <w:rFonts w:ascii="Arial" w:hAnsi="Arial" w:cs="Arial"/>
          <w:b/>
          <w:highlight w:val="cyan"/>
        </w:rPr>
      </w:pPr>
      <w:bookmarkStart w:id="34" w:name="_Toc466921633"/>
      <w:bookmarkStart w:id="35" w:name="_Toc490083858"/>
      <w:bookmarkStart w:id="36" w:name="_Toc496088797"/>
    </w:p>
    <w:p w14:paraId="5223347B" w14:textId="77777777" w:rsidR="00B14201" w:rsidRDefault="0052628B">
      <w:pPr>
        <w:rPr>
          <w:rFonts w:ascii="Arial" w:hAnsi="Arial" w:cs="Arial"/>
          <w:b/>
        </w:rPr>
      </w:pPr>
      <w:r>
        <w:rPr>
          <w:rFonts w:ascii="Arial" w:hAnsi="Arial" w:cs="Arial"/>
          <w:b/>
        </w:rPr>
        <w:t>Reporting the appointment of the assessor(s)</w:t>
      </w:r>
    </w:p>
    <w:tbl>
      <w:tblPr>
        <w:tblStyle w:val="TableGrid"/>
        <w:tblW w:w="0" w:type="auto"/>
        <w:tblInd w:w="720" w:type="dxa"/>
        <w:tblLook w:val="04A0" w:firstRow="1" w:lastRow="0" w:firstColumn="1" w:lastColumn="0" w:noHBand="0" w:noVBand="1"/>
      </w:tblPr>
      <w:tblGrid>
        <w:gridCol w:w="8290"/>
      </w:tblGrid>
      <w:tr w:rsidR="00B14201" w14:paraId="5223347E" w14:textId="77777777">
        <w:tc>
          <w:tcPr>
            <w:tcW w:w="8296" w:type="dxa"/>
          </w:tcPr>
          <w:p w14:paraId="5223347C" w14:textId="77777777" w:rsidR="00B14201" w:rsidRDefault="0052628B">
            <w:pPr>
              <w:spacing w:before="120" w:after="120" w:line="276" w:lineRule="auto"/>
              <w:jc w:val="both"/>
              <w:rPr>
                <w:rFonts w:ascii="Arial" w:hAnsi="Arial" w:cs="Arial"/>
              </w:rPr>
            </w:pPr>
            <w:r>
              <w:rPr>
                <w:rFonts w:ascii="Arial" w:hAnsi="Arial" w:cs="Arial"/>
              </w:rPr>
              <w:t xml:space="preserve">The assessors qualifications are held in the Access Arrangements file </w:t>
            </w:r>
          </w:p>
          <w:p w14:paraId="5223347D" w14:textId="77777777" w:rsidR="00B14201" w:rsidRDefault="0052628B">
            <w:pPr>
              <w:spacing w:before="120" w:after="120" w:line="276" w:lineRule="auto"/>
              <w:jc w:val="both"/>
              <w:rPr>
                <w:rFonts w:ascii="Arial" w:hAnsi="Arial" w:cs="Arial"/>
              </w:rPr>
            </w:pPr>
            <w:r>
              <w:rPr>
                <w:rFonts w:ascii="Arial" w:hAnsi="Arial" w:cs="Arial"/>
              </w:rPr>
              <w:t xml:space="preserve">Make full reference to </w:t>
            </w:r>
            <w:hyperlink r:id="rId22" w:history="1">
              <w:r>
                <w:rPr>
                  <w:rStyle w:val="Hyperlink"/>
                  <w:rFonts w:ascii="Arial" w:hAnsi="Arial" w:cs="Arial"/>
                </w:rPr>
                <w:t>AA</w:t>
              </w:r>
            </w:hyperlink>
            <w:r>
              <w:rPr>
                <w:rFonts w:ascii="Arial" w:hAnsi="Arial" w:cs="Arial"/>
              </w:rPr>
              <w:t xml:space="preserve"> 7.4 Reporting the appointment of assessors</w:t>
            </w:r>
            <w:r>
              <w:rPr>
                <w:rFonts w:ascii="Arial" w:hAnsi="Arial" w:cs="Arial"/>
                <w:i/>
              </w:rPr>
              <w:t xml:space="preserve"> </w:t>
            </w:r>
            <w:r>
              <w:rPr>
                <w:rFonts w:ascii="Arial" w:hAnsi="Arial" w:cs="Arial"/>
              </w:rPr>
              <w:t>and record your process that reflects the requirements.</w:t>
            </w:r>
            <w:r>
              <w:rPr>
                <w:rFonts w:ascii="Arial" w:hAnsi="Arial" w:cs="Arial"/>
                <w:b/>
                <w:bCs/>
              </w:rPr>
              <w:t xml:space="preserve">                      </w:t>
            </w:r>
          </w:p>
        </w:tc>
      </w:tr>
    </w:tbl>
    <w:p w14:paraId="5223347F" w14:textId="77777777" w:rsidR="00B14201" w:rsidRDefault="0052628B">
      <w:pPr>
        <w:pStyle w:val="Headinglevel2"/>
        <w:spacing w:before="240" w:after="120" w:line="276" w:lineRule="auto"/>
        <w:rPr>
          <w:rFonts w:cs="Arial"/>
        </w:rPr>
      </w:pPr>
      <w:bookmarkStart w:id="37" w:name="_Toc523473888"/>
      <w:r>
        <w:rPr>
          <w:rFonts w:cs="Arial"/>
        </w:rPr>
        <w:t>Process for the assessment of a candidate’s learning difficulties by an assessor</w:t>
      </w:r>
      <w:bookmarkEnd w:id="37"/>
      <w:r>
        <w:rPr>
          <w:rFonts w:cs="Arial"/>
        </w:rPr>
        <w:t xml:space="preserve"> </w:t>
      </w:r>
    </w:p>
    <w:tbl>
      <w:tblPr>
        <w:tblStyle w:val="TableGrid"/>
        <w:tblW w:w="0" w:type="auto"/>
        <w:tblInd w:w="720" w:type="dxa"/>
        <w:tblLook w:val="04A0" w:firstRow="1" w:lastRow="0" w:firstColumn="1" w:lastColumn="0" w:noHBand="0" w:noVBand="1"/>
      </w:tblPr>
      <w:tblGrid>
        <w:gridCol w:w="8290"/>
      </w:tblGrid>
      <w:tr w:rsidR="00B14201" w14:paraId="52233484" w14:textId="77777777">
        <w:tc>
          <w:tcPr>
            <w:tcW w:w="8296" w:type="dxa"/>
          </w:tcPr>
          <w:p w14:paraId="52233480" w14:textId="77777777" w:rsidR="00B14201" w:rsidRDefault="0052628B">
            <w:pPr>
              <w:spacing w:before="120" w:after="120" w:line="276" w:lineRule="auto"/>
              <w:rPr>
                <w:rFonts w:ascii="Arial" w:hAnsi="Arial" w:cs="Arial"/>
                <w:szCs w:val="24"/>
              </w:rPr>
            </w:pPr>
            <w:r>
              <w:rPr>
                <w:rFonts w:ascii="Arial" w:hAnsi="Arial" w:cs="Arial"/>
                <w:szCs w:val="24"/>
              </w:rPr>
              <w:t xml:space="preserve">Significant effort is made to ensure that </w:t>
            </w:r>
            <w:r>
              <w:rPr>
                <w:rFonts w:ascii="Arial" w:hAnsi="Arial" w:cs="Arial"/>
                <w:color w:val="000000"/>
              </w:rPr>
              <w:t>the assessment process is administered correctly</w:t>
            </w:r>
            <w:r>
              <w:rPr>
                <w:rFonts w:ascii="Arial" w:hAnsi="Arial" w:cs="Arial"/>
                <w:szCs w:val="24"/>
              </w:rPr>
              <w:t>. Students are identified as requiring Access Arrangements by the referring school, baseline assessments or by classroom teachers. This is confirmed through the gathering of evidence by the classroom teacher. Once sufficient evidence is gathered students are asked to sign Data Protection statements and the first section of the form eight is completed. The assessments are made by an individual who holds the appropriate qualification who is then able to make recommendations regarding the appropriate access arrangements. The Form eights are then completed and the online applications are made.</w:t>
            </w:r>
          </w:p>
          <w:p w14:paraId="52233481" w14:textId="77777777" w:rsidR="00B14201" w:rsidRDefault="0052628B">
            <w:pPr>
              <w:spacing w:before="120" w:after="120"/>
              <w:ind w:left="84"/>
              <w:jc w:val="both"/>
              <w:rPr>
                <w:rFonts w:ascii="Arial" w:hAnsi="Arial" w:cs="Arial"/>
              </w:rPr>
            </w:pPr>
            <w:r>
              <w:rPr>
                <w:rFonts w:ascii="Arial" w:hAnsi="Arial" w:cs="Arial"/>
                <w:i/>
              </w:rPr>
              <w:t xml:space="preserve"> “… that the correct procedures are followed as per Chapter 7 of the JCQ publication Access Arrangements and Reasonable Adjustments…”</w:t>
            </w:r>
            <w:r>
              <w:rPr>
                <w:rFonts w:ascii="Arial" w:hAnsi="Arial" w:cs="Arial"/>
              </w:rPr>
              <w:t xml:space="preserve">                                                                      [</w:t>
            </w:r>
            <w:hyperlink r:id="rId23" w:history="1">
              <w:r>
                <w:rPr>
                  <w:rStyle w:val="Hyperlink"/>
                  <w:rFonts w:ascii="Arial" w:hAnsi="Arial" w:cs="Arial"/>
                </w:rPr>
                <w:t>GR</w:t>
              </w:r>
            </w:hyperlink>
            <w:r>
              <w:rPr>
                <w:rFonts w:ascii="Arial" w:hAnsi="Arial" w:cs="Arial"/>
              </w:rPr>
              <w:t xml:space="preserve"> 5.4]</w:t>
            </w:r>
          </w:p>
          <w:p w14:paraId="52233482" w14:textId="77777777" w:rsidR="00B14201" w:rsidRDefault="0052628B">
            <w:pPr>
              <w:autoSpaceDE w:val="0"/>
              <w:autoSpaceDN w:val="0"/>
              <w:adjustRightInd w:val="0"/>
              <w:jc w:val="both"/>
              <w:rPr>
                <w:rFonts w:ascii="Arial" w:hAnsi="Arial" w:cs="Arial"/>
                <w:b/>
                <w:bCs/>
                <w:color w:val="595959" w:themeColor="text1" w:themeTint="A6"/>
                <w:sz w:val="18"/>
                <w:szCs w:val="18"/>
              </w:rPr>
            </w:pPr>
            <w:r>
              <w:rPr>
                <w:rFonts w:ascii="Arial" w:hAnsi="Arial" w:cs="Arial"/>
                <w:b/>
                <w:bCs/>
              </w:rPr>
              <w:t>Note</w:t>
            </w:r>
            <w:r>
              <w:rPr>
                <w:rFonts w:ascii="Arial" w:hAnsi="Arial" w:cs="Arial"/>
                <w:b/>
                <w:bCs/>
                <w:color w:val="595959" w:themeColor="text1" w:themeTint="A6"/>
                <w:sz w:val="18"/>
                <w:szCs w:val="18"/>
              </w:rPr>
              <w:t>…</w:t>
            </w:r>
            <w:r>
              <w:rPr>
                <w:rFonts w:ascii="Arial" w:hAnsi="Arial" w:cs="Arial"/>
                <w:color w:val="595959" w:themeColor="text1" w:themeTint="A6"/>
                <w:sz w:val="18"/>
                <w:szCs w:val="18"/>
              </w:rPr>
              <w:t xml:space="preserve"> SENCos and assessors working within the centre should always carefully consider any privately commissioned assessment to see whether the process of gathering a picture of need, demonstrating normal way of working within the centre and ultimately assessing the candidate themselves should be instigated </w:t>
            </w:r>
            <w:r>
              <w:rPr>
                <w:rFonts w:ascii="Arial" w:hAnsi="Arial" w:cs="Arial"/>
                <w:sz w:val="18"/>
                <w:szCs w:val="18"/>
              </w:rPr>
              <w:t>(</w:t>
            </w:r>
            <w:hyperlink r:id="rId24" w:history="1">
              <w:r>
                <w:rPr>
                  <w:rStyle w:val="Hyperlink"/>
                  <w:rFonts w:ascii="Arial" w:hAnsi="Arial" w:cs="Arial"/>
                  <w:sz w:val="18"/>
                  <w:szCs w:val="18"/>
                </w:rPr>
                <w:t>AA</w:t>
              </w:r>
            </w:hyperlink>
            <w:r>
              <w:rPr>
                <w:rFonts w:ascii="Arial" w:hAnsi="Arial" w:cs="Arial"/>
                <w:sz w:val="18"/>
                <w:szCs w:val="18"/>
              </w:rPr>
              <w:t xml:space="preserve"> 7.3)</w:t>
            </w:r>
            <w:r>
              <w:rPr>
                <w:rFonts w:ascii="Arial" w:hAnsi="Arial" w:cs="Arial"/>
                <w:b/>
                <w:bCs/>
                <w:sz w:val="18"/>
                <w:szCs w:val="18"/>
              </w:rPr>
              <w:t xml:space="preserve">  </w:t>
            </w:r>
          </w:p>
          <w:p w14:paraId="52233483" w14:textId="77777777" w:rsidR="00B14201" w:rsidRDefault="0052628B">
            <w:pPr>
              <w:autoSpaceDE w:val="0"/>
              <w:autoSpaceDN w:val="0"/>
              <w:adjustRightInd w:val="0"/>
              <w:spacing w:line="276" w:lineRule="auto"/>
              <w:rPr>
                <w:rFonts w:ascii="Arial" w:hAnsi="Arial" w:cs="Arial"/>
              </w:rPr>
            </w:pPr>
            <w:r>
              <w:rPr>
                <w:rFonts w:ascii="Arial" w:hAnsi="Arial" w:cs="Arial"/>
              </w:rPr>
              <w:t xml:space="preserve">Also detail any process (where relevant) for private candidates, distance learners and home educated students - refer to the requirement in </w:t>
            </w:r>
            <w:hyperlink r:id="rId25" w:history="1">
              <w:r>
                <w:rPr>
                  <w:rStyle w:val="Hyperlink"/>
                  <w:rFonts w:ascii="Arial" w:hAnsi="Arial" w:cs="Arial"/>
                </w:rPr>
                <w:t>GR</w:t>
              </w:r>
            </w:hyperlink>
            <w:r>
              <w:rPr>
                <w:rFonts w:ascii="Arial" w:hAnsi="Arial" w:cs="Arial"/>
              </w:rPr>
              <w:t xml:space="preserve"> 5.4 </w:t>
            </w:r>
          </w:p>
        </w:tc>
      </w:tr>
    </w:tbl>
    <w:p w14:paraId="52233485" w14:textId="77777777" w:rsidR="00B14201" w:rsidRDefault="0052628B">
      <w:pPr>
        <w:pStyle w:val="Headinglevel2"/>
        <w:spacing w:before="240" w:after="120" w:line="276" w:lineRule="auto"/>
        <w:rPr>
          <w:rFonts w:cs="Arial"/>
          <w:i/>
        </w:rPr>
      </w:pPr>
      <w:bookmarkStart w:id="38" w:name="_Toc443593728"/>
      <w:bookmarkStart w:id="39" w:name="_Toc466921635"/>
      <w:bookmarkStart w:id="40" w:name="_Toc490083860"/>
      <w:bookmarkStart w:id="41" w:name="_Toc496088799"/>
      <w:bookmarkStart w:id="42" w:name="_Toc523473889"/>
      <w:bookmarkStart w:id="43" w:name="_Toc22304705"/>
      <w:bookmarkStart w:id="44" w:name="_Toc22487033"/>
      <w:bookmarkStart w:id="45" w:name="_Toc22487152"/>
      <w:bookmarkStart w:id="46" w:name="_Toc51674464"/>
      <w:bookmarkEnd w:id="34"/>
      <w:bookmarkEnd w:id="35"/>
      <w:bookmarkEnd w:id="36"/>
      <w:r>
        <w:rPr>
          <w:rFonts w:cs="Arial"/>
        </w:rPr>
        <w:t xml:space="preserve">Painting a ‘holistic picture of need’, </w:t>
      </w:r>
      <w:bookmarkEnd w:id="38"/>
      <w:bookmarkEnd w:id="39"/>
      <w:bookmarkEnd w:id="40"/>
      <w:bookmarkEnd w:id="41"/>
      <w:bookmarkEnd w:id="42"/>
      <w:bookmarkEnd w:id="43"/>
      <w:bookmarkEnd w:id="44"/>
      <w:bookmarkEnd w:id="45"/>
      <w:r>
        <w:rPr>
          <w:rFonts w:cs="Arial"/>
        </w:rPr>
        <w:t>confirming normal way of working</w:t>
      </w:r>
      <w:bookmarkEnd w:id="46"/>
    </w:p>
    <w:tbl>
      <w:tblPr>
        <w:tblStyle w:val="TableGrid"/>
        <w:tblW w:w="0" w:type="auto"/>
        <w:tblInd w:w="675" w:type="dxa"/>
        <w:tblLook w:val="04A0" w:firstRow="1" w:lastRow="0" w:firstColumn="1" w:lastColumn="0" w:noHBand="0" w:noVBand="1"/>
      </w:tblPr>
      <w:tblGrid>
        <w:gridCol w:w="8335"/>
      </w:tblGrid>
      <w:tr w:rsidR="00B14201" w14:paraId="5223348D" w14:textId="77777777">
        <w:tc>
          <w:tcPr>
            <w:tcW w:w="10161" w:type="dxa"/>
          </w:tcPr>
          <w:p w14:paraId="52233486" w14:textId="02FDA28F" w:rsidR="00B14201" w:rsidRDefault="0052628B">
            <w:pPr>
              <w:spacing w:before="120" w:after="120" w:line="276" w:lineRule="auto"/>
              <w:jc w:val="both"/>
              <w:rPr>
                <w:rFonts w:ascii="Arial" w:hAnsi="Arial" w:cs="Arial"/>
              </w:rPr>
            </w:pPr>
            <w:r>
              <w:rPr>
                <w:rFonts w:ascii="Arial" w:hAnsi="Arial" w:cs="Arial"/>
              </w:rPr>
              <w:t xml:space="preserve">All Evidence is kept within the Exams Officer’s examination cupboard. The evidence is discussed on a </w:t>
            </w:r>
            <w:r w:rsidR="005768CB">
              <w:rPr>
                <w:rFonts w:ascii="Arial" w:hAnsi="Arial" w:cs="Arial"/>
              </w:rPr>
              <w:t xml:space="preserve">regular basis </w:t>
            </w:r>
            <w:r w:rsidR="00902177">
              <w:rPr>
                <w:rFonts w:ascii="Arial" w:hAnsi="Arial" w:cs="Arial"/>
              </w:rPr>
              <w:t>with all staff led by the SENCO</w:t>
            </w:r>
            <w:r>
              <w:rPr>
                <w:rFonts w:ascii="Arial" w:hAnsi="Arial" w:cs="Arial"/>
              </w:rPr>
              <w:t xml:space="preserve"> to determine quality and relevance. There is an expectation that these files are added to as more evidence is gathered through all departments.</w:t>
            </w:r>
          </w:p>
          <w:p w14:paraId="52233487" w14:textId="77777777" w:rsidR="00B14201" w:rsidRDefault="0052628B">
            <w:pPr>
              <w:pStyle w:val="NormalWeb"/>
              <w:spacing w:before="120" w:beforeAutospacing="0" w:after="120" w:afterAutospacing="0"/>
              <w:jc w:val="both"/>
              <w:rPr>
                <w:rFonts w:ascii="Arial" w:hAnsi="Arial" w:cs="Arial"/>
                <w:b/>
                <w:bCs/>
                <w:color w:val="595959" w:themeColor="text1" w:themeTint="A6"/>
                <w:u w:val="single"/>
              </w:rPr>
            </w:pPr>
            <w:r>
              <w:rPr>
                <w:rFonts w:ascii="Arial" w:hAnsi="Arial" w:cs="Arial"/>
              </w:rPr>
              <w:t>Students are supported in lessons through laptops, e-readers, overlays and modified tasks. The outcome of these tasks is used to produce an evidence file that is kept within the English department. This evidence can be used to demonstrate a student’s normal way of working as defined by JCQ.</w:t>
            </w:r>
            <w:r>
              <w:rPr>
                <w:rFonts w:ascii="Arial" w:hAnsi="Arial" w:cs="Arial"/>
                <w:b/>
                <w:bCs/>
                <w:color w:val="595959" w:themeColor="text1" w:themeTint="A6"/>
                <w:u w:val="single"/>
              </w:rPr>
              <w:t xml:space="preserve"> </w:t>
            </w:r>
          </w:p>
          <w:p w14:paraId="52233488" w14:textId="77777777" w:rsidR="00B14201" w:rsidRDefault="0052628B">
            <w:pPr>
              <w:pStyle w:val="NormalWeb"/>
              <w:spacing w:before="120" w:beforeAutospacing="0" w:after="120" w:afterAutospacing="0"/>
              <w:jc w:val="both"/>
              <w:rPr>
                <w:rFonts w:ascii="Arial" w:hAnsi="Arial" w:cs="Arial"/>
                <w:b/>
                <w:bCs/>
                <w:color w:val="595959" w:themeColor="text1" w:themeTint="A6"/>
              </w:rPr>
            </w:pPr>
            <w:r>
              <w:rPr>
                <w:rFonts w:ascii="Arial" w:hAnsi="Arial" w:cs="Arial"/>
                <w:b/>
                <w:bCs/>
                <w:color w:val="595959" w:themeColor="text1" w:themeTint="A6"/>
                <w:u w:val="single"/>
              </w:rPr>
              <w:lastRenderedPageBreak/>
              <w:t>Before the candidate’s assessment</w:t>
            </w:r>
            <w:r>
              <w:rPr>
                <w:rFonts w:ascii="Arial" w:hAnsi="Arial" w:cs="Arial"/>
                <w:b/>
                <w:bCs/>
                <w:color w:val="595959" w:themeColor="text1" w:themeTint="A6"/>
              </w:rPr>
              <w:t xml:space="preserve">, the SENCo must provide the assessor with background information, i.e. a picture of need has been painted as per Part 1 of Form 8. </w:t>
            </w:r>
            <w:r>
              <w:rPr>
                <w:rFonts w:ascii="Arial" w:hAnsi="Arial" w:cs="Arial"/>
                <w:b/>
                <w:bCs/>
                <w:color w:val="595959" w:themeColor="text1" w:themeTint="A6"/>
                <w:u w:val="single"/>
              </w:rPr>
              <w:t>The SENCo and the assessor must work together to ensure a joined-up and consistent process</w:t>
            </w:r>
            <w:r>
              <w:rPr>
                <w:rFonts w:ascii="Arial" w:hAnsi="Arial" w:cs="Arial"/>
                <w:b/>
                <w:bCs/>
                <w:color w:val="595959" w:themeColor="text1" w:themeTint="A6"/>
              </w:rPr>
              <w:t xml:space="preserve">. </w:t>
            </w:r>
          </w:p>
          <w:p w14:paraId="52233489" w14:textId="77777777" w:rsidR="00B14201" w:rsidRDefault="0052628B">
            <w:pPr>
              <w:pStyle w:val="NormalWeb"/>
              <w:spacing w:before="120" w:beforeAutospacing="0" w:after="120" w:afterAutospacing="0"/>
              <w:rPr>
                <w:rFonts w:ascii="Arial" w:hAnsi="Arial" w:cs="Arial"/>
                <w:color w:val="595959" w:themeColor="text1" w:themeTint="A6"/>
              </w:rPr>
            </w:pPr>
            <w:r>
              <w:rPr>
                <w:rFonts w:ascii="Arial" w:hAnsi="Arial" w:cs="Arial"/>
                <w:b/>
                <w:bCs/>
                <w:color w:val="595959" w:themeColor="text1" w:themeTint="A6"/>
              </w:rPr>
              <w:t xml:space="preserve">An independent assessor </w:t>
            </w:r>
            <w:r>
              <w:rPr>
                <w:rFonts w:ascii="Arial" w:hAnsi="Arial" w:cs="Arial"/>
                <w:b/>
                <w:bCs/>
                <w:color w:val="595959" w:themeColor="text1" w:themeTint="A6"/>
                <w:u w:val="single"/>
              </w:rPr>
              <w:t>must</w:t>
            </w:r>
            <w:r>
              <w:rPr>
                <w:rFonts w:ascii="Arial" w:hAnsi="Arial" w:cs="Arial"/>
                <w:b/>
                <w:bCs/>
                <w:color w:val="595959" w:themeColor="text1" w:themeTint="A6"/>
              </w:rPr>
              <w:t xml:space="preserve"> contact the centre and ask for evidence of the candidate’s normal way of working and relevant background information. </w:t>
            </w:r>
            <w:r>
              <w:rPr>
                <w:rFonts w:ascii="Arial" w:hAnsi="Arial" w:cs="Arial"/>
                <w:b/>
                <w:bCs/>
                <w:color w:val="595959" w:themeColor="text1" w:themeTint="A6"/>
                <w:u w:val="single"/>
              </w:rPr>
              <w:t>This must take place before the candidate is assessed</w:t>
            </w:r>
            <w:r>
              <w:rPr>
                <w:rFonts w:ascii="Arial" w:hAnsi="Arial" w:cs="Arial"/>
                <w:b/>
                <w:bCs/>
                <w:color w:val="595959" w:themeColor="text1" w:themeTint="A6"/>
              </w:rPr>
              <w:t xml:space="preserve">. </w:t>
            </w:r>
          </w:p>
          <w:p w14:paraId="5223348A" w14:textId="77777777" w:rsidR="00B14201" w:rsidRDefault="0052628B">
            <w:pPr>
              <w:pStyle w:val="NormalWeb"/>
              <w:spacing w:before="120" w:beforeAutospacing="0" w:after="120" w:afterAutospacing="0"/>
              <w:rPr>
                <w:rFonts w:ascii="Arial" w:hAnsi="Arial" w:cs="Arial"/>
                <w:color w:val="595959" w:themeColor="text1" w:themeTint="A6"/>
              </w:rPr>
            </w:pPr>
            <w:r>
              <w:rPr>
                <w:rFonts w:ascii="Arial" w:hAnsi="Arial" w:cs="Arial"/>
                <w:b/>
                <w:bCs/>
                <w:color w:val="595959" w:themeColor="text1" w:themeTint="A6"/>
              </w:rPr>
              <w:t xml:space="preserve">All candidates </w:t>
            </w:r>
            <w:r>
              <w:rPr>
                <w:rFonts w:ascii="Arial" w:hAnsi="Arial" w:cs="Arial"/>
                <w:b/>
                <w:bCs/>
                <w:color w:val="595959" w:themeColor="text1" w:themeTint="A6"/>
                <w:u w:val="single"/>
              </w:rPr>
              <w:t>must</w:t>
            </w:r>
            <w:r>
              <w:rPr>
                <w:rFonts w:ascii="Arial" w:hAnsi="Arial" w:cs="Arial"/>
                <w:b/>
                <w:bCs/>
                <w:color w:val="595959" w:themeColor="text1" w:themeTint="A6"/>
              </w:rPr>
              <w:t xml:space="preserve"> be assessed in light of the picture of need and the background information as detailed within Part 1 of Form 8. </w:t>
            </w:r>
          </w:p>
          <w:p w14:paraId="5223348B" w14:textId="77777777" w:rsidR="00B14201" w:rsidRDefault="0052628B">
            <w:pPr>
              <w:pStyle w:val="NormalWeb"/>
              <w:spacing w:before="120" w:beforeAutospacing="0" w:after="120" w:afterAutospacing="0"/>
              <w:rPr>
                <w:rFonts w:ascii="Arial" w:hAnsi="Arial" w:cs="Arial"/>
                <w:color w:val="595959" w:themeColor="text1" w:themeTint="A6"/>
              </w:rPr>
            </w:pPr>
            <w:r>
              <w:rPr>
                <w:rFonts w:ascii="Arial" w:hAnsi="Arial" w:cs="Arial"/>
                <w:b/>
                <w:bCs/>
                <w:color w:val="595959" w:themeColor="text1" w:themeTint="A6"/>
              </w:rPr>
              <w:t xml:space="preserve">An independent assessor must discuss access arrangements with the SENCo. </w:t>
            </w:r>
            <w:r>
              <w:rPr>
                <w:rFonts w:ascii="Arial" w:hAnsi="Arial" w:cs="Arial"/>
                <w:b/>
                <w:bCs/>
                <w:color w:val="595959" w:themeColor="text1" w:themeTint="A6"/>
                <w:u w:val="single"/>
              </w:rPr>
              <w:t>The responsibility to request access arrangements specifically lies with the SENCo</w:t>
            </w:r>
            <w:r>
              <w:rPr>
                <w:rFonts w:ascii="Arial" w:hAnsi="Arial" w:cs="Arial"/>
                <w:b/>
                <w:bCs/>
                <w:color w:val="595959" w:themeColor="text1" w:themeTint="A6"/>
              </w:rPr>
              <w:t xml:space="preserve">. </w:t>
            </w:r>
            <w:r>
              <w:rPr>
                <w:rFonts w:ascii="Arial" w:hAnsi="Arial" w:cs="Arial"/>
              </w:rPr>
              <w:t>(</w:t>
            </w:r>
            <w:hyperlink r:id="rId26" w:history="1">
              <w:r>
                <w:rPr>
                  <w:rStyle w:val="Hyperlink"/>
                  <w:rFonts w:ascii="Arial" w:hAnsi="Arial" w:cs="Arial"/>
                </w:rPr>
                <w:t>AA</w:t>
              </w:r>
            </w:hyperlink>
            <w:r>
              <w:rPr>
                <w:rFonts w:ascii="Arial" w:hAnsi="Arial" w:cs="Arial"/>
              </w:rPr>
              <w:t xml:space="preserve"> 7.5)</w:t>
            </w:r>
            <w:r>
              <w:rPr>
                <w:rFonts w:ascii="Arial" w:hAnsi="Arial" w:cs="Arial"/>
                <w:b/>
                <w:bCs/>
              </w:rPr>
              <w:t xml:space="preserve">  </w:t>
            </w:r>
            <w:r>
              <w:rPr>
                <w:rFonts w:ascii="Arial" w:hAnsi="Arial" w:cs="Arial"/>
                <w:color w:val="595959" w:themeColor="text1" w:themeTint="A6"/>
              </w:rPr>
              <w:t xml:space="preserve"> </w:t>
            </w:r>
          </w:p>
          <w:p w14:paraId="5223348C" w14:textId="77777777" w:rsidR="00B14201" w:rsidRDefault="0052628B">
            <w:pPr>
              <w:autoSpaceDE w:val="0"/>
              <w:autoSpaceDN w:val="0"/>
              <w:adjustRightInd w:val="0"/>
              <w:spacing w:before="120" w:after="120" w:line="276" w:lineRule="auto"/>
              <w:rPr>
                <w:rFonts w:ascii="Arial" w:hAnsi="Arial" w:cs="Arial"/>
              </w:rPr>
            </w:pPr>
            <w:r>
              <w:rPr>
                <w:rFonts w:ascii="Arial" w:hAnsi="Arial" w:cs="Arial"/>
              </w:rPr>
              <w:t xml:space="preserve">Make full reference to </w:t>
            </w:r>
            <w:hyperlink r:id="rId27" w:history="1">
              <w:r>
                <w:rPr>
                  <w:rStyle w:val="Hyperlink"/>
                  <w:rFonts w:ascii="Arial" w:hAnsi="Arial" w:cs="Arial"/>
                </w:rPr>
                <w:t>AA</w:t>
              </w:r>
            </w:hyperlink>
            <w:r>
              <w:rPr>
                <w:rFonts w:ascii="Arial" w:hAnsi="Arial" w:cs="Arial"/>
              </w:rPr>
              <w:t xml:space="preserve"> 7.5 Guidelines for the assessment of the candidate’s learning difficulties by an assessor</w:t>
            </w:r>
            <w:r>
              <w:rPr>
                <w:rFonts w:ascii="Arial" w:hAnsi="Arial" w:cs="Arial"/>
                <w:i/>
              </w:rPr>
              <w:t xml:space="preserve"> </w:t>
            </w:r>
            <w:r>
              <w:rPr>
                <w:rFonts w:ascii="Arial" w:hAnsi="Arial" w:cs="Arial"/>
              </w:rPr>
              <w:t>and</w:t>
            </w:r>
            <w:r>
              <w:rPr>
                <w:rFonts w:ascii="Arial" w:hAnsi="Arial" w:cs="Arial"/>
                <w:i/>
              </w:rPr>
              <w:t xml:space="preserve"> </w:t>
            </w:r>
            <w:r>
              <w:rPr>
                <w:rFonts w:ascii="Arial" w:hAnsi="Arial" w:cs="Arial"/>
              </w:rPr>
              <w:t>7.6 Completing Form 8 – JCQ/AA/LD, Profile of Learning Difficulties</w:t>
            </w:r>
            <w:r>
              <w:rPr>
                <w:rFonts w:ascii="Arial" w:hAnsi="Arial" w:cs="Arial"/>
                <w:i/>
              </w:rPr>
              <w:t xml:space="preserve"> </w:t>
            </w:r>
            <w:r>
              <w:rPr>
                <w:rFonts w:ascii="Arial" w:hAnsi="Arial" w:cs="Arial"/>
              </w:rPr>
              <w:t>and record your process that reflects the requirements.</w:t>
            </w:r>
            <w:r>
              <w:rPr>
                <w:rFonts w:ascii="Arial" w:hAnsi="Arial" w:cs="Arial"/>
                <w:b/>
                <w:bCs/>
              </w:rPr>
              <w:t xml:space="preserve">                       </w:t>
            </w:r>
            <w:r>
              <w:rPr>
                <w:rFonts w:ascii="Arial" w:hAnsi="Arial" w:cs="Arial"/>
                <w:i/>
              </w:rPr>
              <w:t xml:space="preserve"> </w:t>
            </w:r>
            <w:r>
              <w:rPr>
                <w:rFonts w:ascii="Arial" w:hAnsi="Arial" w:cs="Arial"/>
              </w:rPr>
              <w:t xml:space="preserve"> </w:t>
            </w:r>
          </w:p>
        </w:tc>
      </w:tr>
    </w:tbl>
    <w:p w14:paraId="5223348E" w14:textId="77777777" w:rsidR="00B14201" w:rsidRDefault="0052628B">
      <w:pPr>
        <w:pStyle w:val="Headinglevel1"/>
        <w:spacing w:before="240"/>
        <w:rPr>
          <w:rFonts w:cs="Arial"/>
        </w:rPr>
      </w:pPr>
      <w:bookmarkStart w:id="47" w:name="_Toc466921636"/>
      <w:bookmarkStart w:id="48" w:name="_Toc490083861"/>
      <w:bookmarkStart w:id="49" w:name="_Toc496088800"/>
      <w:bookmarkStart w:id="50" w:name="_Toc523473890"/>
      <w:r>
        <w:rPr>
          <w:rFonts w:cs="Arial"/>
        </w:rPr>
        <w:lastRenderedPageBreak/>
        <w:t>Processing access arrangements</w:t>
      </w:r>
      <w:bookmarkEnd w:id="47"/>
      <w:bookmarkEnd w:id="48"/>
      <w:bookmarkEnd w:id="49"/>
      <w:bookmarkEnd w:id="50"/>
    </w:p>
    <w:p w14:paraId="5223348F" w14:textId="77777777" w:rsidR="00B14201" w:rsidRDefault="0052628B">
      <w:pPr>
        <w:pStyle w:val="Headinglevel2"/>
        <w:spacing w:before="0"/>
        <w:rPr>
          <w:rFonts w:cs="Arial"/>
        </w:rPr>
      </w:pPr>
      <w:bookmarkStart w:id="51" w:name="_Toc496088801"/>
      <w:bookmarkStart w:id="52" w:name="_Toc523473891"/>
      <w:r>
        <w:rPr>
          <w:rFonts w:cs="Arial"/>
        </w:rPr>
        <w:t>Arrangements requiring awarding body approval</w:t>
      </w:r>
      <w:bookmarkEnd w:id="51"/>
      <w:bookmarkEnd w:id="52"/>
    </w:p>
    <w:p w14:paraId="52233490" w14:textId="77777777" w:rsidR="00B14201" w:rsidRDefault="0052628B">
      <w:pPr>
        <w:autoSpaceDE w:val="0"/>
        <w:autoSpaceDN w:val="0"/>
        <w:adjustRightInd w:val="0"/>
        <w:spacing w:after="120" w:line="276" w:lineRule="auto"/>
        <w:jc w:val="both"/>
        <w:rPr>
          <w:rFonts w:ascii="Arial" w:hAnsi="Arial" w:cs="Arial"/>
        </w:rPr>
      </w:pPr>
      <w:r>
        <w:rPr>
          <w:rFonts w:ascii="Arial" w:hAnsi="Arial" w:cs="Arial"/>
          <w:i/>
        </w:rPr>
        <w:t>Access arrangements online</w:t>
      </w:r>
      <w:r>
        <w:rPr>
          <w:rFonts w:ascii="Arial" w:hAnsi="Arial" w:cs="Arial"/>
        </w:rPr>
        <w:t xml:space="preserve"> (AAO) is a tool provided by JCQ member awarding bodies for centres to apply for required access arrangement approval for the qualifications listed on page 2 of </w:t>
      </w:r>
      <w:hyperlink r:id="rId28" w:history="1">
        <w:r>
          <w:rPr>
            <w:rStyle w:val="Hyperlink"/>
            <w:rFonts w:ascii="Arial" w:hAnsi="Arial" w:cs="Arial"/>
          </w:rPr>
          <w:t>AA</w:t>
        </w:r>
      </w:hyperlink>
      <w:r>
        <w:rPr>
          <w:rFonts w:ascii="Arial" w:hAnsi="Arial" w:cs="Arial"/>
        </w:rPr>
        <w:t>. This tool also provides the facility to order modified papers for those qualifications listed on page 74.</w:t>
      </w:r>
    </w:p>
    <w:p w14:paraId="52233491" w14:textId="77777777" w:rsidR="00B14201" w:rsidRDefault="0052628B">
      <w:pPr>
        <w:autoSpaceDE w:val="0"/>
        <w:autoSpaceDN w:val="0"/>
        <w:adjustRightInd w:val="0"/>
        <w:spacing w:before="120" w:after="120" w:line="276" w:lineRule="auto"/>
        <w:jc w:val="both"/>
        <w:rPr>
          <w:rFonts w:ascii="Arial" w:hAnsi="Arial" w:cs="Arial"/>
        </w:rPr>
      </w:pPr>
      <w:r>
        <w:rPr>
          <w:rFonts w:ascii="Arial" w:hAnsi="Arial" w:cs="Arial"/>
        </w:rPr>
        <w:t xml:space="preserve">AAO is accessed within the JCQ Centre Admin Portal (CAP) by logging in to one of the awarding body secure extranet sites. A single application is required for each candidate regardless of the awarding body used. </w:t>
      </w:r>
    </w:p>
    <w:tbl>
      <w:tblPr>
        <w:tblStyle w:val="TableGrid"/>
        <w:tblW w:w="0" w:type="auto"/>
        <w:tblInd w:w="720" w:type="dxa"/>
        <w:tblLook w:val="04A0" w:firstRow="1" w:lastRow="0" w:firstColumn="1" w:lastColumn="0" w:noHBand="0" w:noVBand="1"/>
      </w:tblPr>
      <w:tblGrid>
        <w:gridCol w:w="8290"/>
      </w:tblGrid>
      <w:tr w:rsidR="00B14201" w14:paraId="52233495" w14:textId="77777777">
        <w:tc>
          <w:tcPr>
            <w:tcW w:w="10836" w:type="dxa"/>
          </w:tcPr>
          <w:p w14:paraId="52233492" w14:textId="372A9C42" w:rsidR="00B14201" w:rsidRDefault="0052628B">
            <w:pPr>
              <w:pStyle w:val="NormalWeb"/>
              <w:spacing w:before="120" w:beforeAutospacing="0" w:after="120" w:afterAutospacing="0"/>
              <w:jc w:val="both"/>
              <w:rPr>
                <w:rFonts w:ascii="Arial" w:hAnsi="Arial" w:cs="Arial"/>
                <w:b/>
                <w:bCs/>
                <w:color w:val="595959" w:themeColor="text1" w:themeTint="A6"/>
              </w:rPr>
            </w:pPr>
            <w:r>
              <w:rPr>
                <w:rFonts w:ascii="Arial" w:hAnsi="Arial" w:cs="Arial"/>
              </w:rPr>
              <w:t>All assessments and data are kept within the exam officer’s office within the Access Arrangement file along with the applications and their outcomes. Data and evidence pertaining to student for which access arrangements were applied for but not awarded are kept within the access arrangements file. The SENCo has responsibility for the information.</w:t>
            </w:r>
            <w:r>
              <w:rPr>
                <w:rFonts w:ascii="Arial" w:hAnsi="Arial" w:cs="Arial"/>
                <w:b/>
                <w:bCs/>
                <w:color w:val="595959" w:themeColor="text1" w:themeTint="A6"/>
              </w:rPr>
              <w:t xml:space="preserve"> </w:t>
            </w:r>
          </w:p>
          <w:p w14:paraId="52233493" w14:textId="77777777" w:rsidR="00B14201" w:rsidRDefault="0052628B">
            <w:pPr>
              <w:pStyle w:val="NormalWeb"/>
              <w:spacing w:before="120" w:beforeAutospacing="0" w:after="120" w:afterAutospacing="0"/>
              <w:jc w:val="both"/>
              <w:rPr>
                <w:rFonts w:ascii="Arial" w:hAnsi="Arial" w:cs="Arial"/>
                <w:color w:val="595959" w:themeColor="text1" w:themeTint="A6"/>
              </w:rPr>
            </w:pPr>
            <w:r>
              <w:rPr>
                <w:rFonts w:ascii="Arial" w:hAnsi="Arial" w:cs="Arial"/>
                <w:b/>
                <w:bCs/>
                <w:color w:val="595959" w:themeColor="text1" w:themeTint="A6"/>
              </w:rPr>
              <w:t xml:space="preserve">The SENCo </w:t>
            </w:r>
            <w:r>
              <w:rPr>
                <w:rFonts w:ascii="Arial" w:hAnsi="Arial" w:cs="Arial"/>
                <w:b/>
                <w:bCs/>
                <w:color w:val="595959" w:themeColor="text1" w:themeTint="A6"/>
                <w:u w:val="single"/>
              </w:rPr>
              <w:t>must</w:t>
            </w:r>
            <w:r>
              <w:rPr>
                <w:rFonts w:ascii="Arial" w:hAnsi="Arial" w:cs="Arial"/>
                <w:b/>
                <w:bCs/>
                <w:color w:val="595959" w:themeColor="text1" w:themeTint="A6"/>
              </w:rPr>
              <w:t xml:space="preserve"> keep detailed records, whether electronically or in hard copy paper format, of all the essential information on file</w:t>
            </w:r>
            <w:r>
              <w:rPr>
                <w:rFonts w:ascii="Arial" w:hAnsi="Arial" w:cs="Arial"/>
                <w:color w:val="595959" w:themeColor="text1" w:themeTint="A6"/>
              </w:rPr>
              <w:t xml:space="preserve">. This includes a copy of the candidate's approved application, appropriate evidence of need (where required) </w:t>
            </w:r>
            <w:r>
              <w:rPr>
                <w:rFonts w:ascii="Arial" w:hAnsi="Arial" w:cs="Arial"/>
                <w:b/>
                <w:bCs/>
                <w:color w:val="595959" w:themeColor="text1" w:themeTint="A6"/>
                <w:u w:val="single"/>
              </w:rPr>
              <w:t>and</w:t>
            </w:r>
            <w:r>
              <w:rPr>
                <w:rFonts w:ascii="Arial" w:hAnsi="Arial" w:cs="Arial"/>
                <w:b/>
                <w:bCs/>
                <w:color w:val="595959" w:themeColor="text1" w:themeTint="A6"/>
              </w:rPr>
              <w:t xml:space="preserve"> </w:t>
            </w:r>
            <w:r>
              <w:rPr>
                <w:rFonts w:ascii="Arial" w:hAnsi="Arial" w:cs="Arial"/>
                <w:color w:val="595959" w:themeColor="text1" w:themeTint="A6"/>
              </w:rPr>
              <w:t xml:space="preserve">a signed candidate personal data consent form for inspection by the JCQ Centre Inspection Service. </w:t>
            </w:r>
            <w:r>
              <w:rPr>
                <w:rFonts w:ascii="Arial" w:hAnsi="Arial" w:cs="Arial"/>
              </w:rPr>
              <w:t>(</w:t>
            </w:r>
            <w:hyperlink r:id="rId29" w:history="1">
              <w:r>
                <w:rPr>
                  <w:rStyle w:val="Hyperlink"/>
                  <w:rFonts w:ascii="Arial" w:hAnsi="Arial" w:cs="Arial"/>
                </w:rPr>
                <w:t>AA</w:t>
              </w:r>
            </w:hyperlink>
            <w:r>
              <w:rPr>
                <w:rFonts w:ascii="Arial" w:hAnsi="Arial" w:cs="Arial"/>
              </w:rPr>
              <w:t xml:space="preserve"> 8.6)</w:t>
            </w:r>
            <w:r>
              <w:rPr>
                <w:rFonts w:ascii="Arial" w:hAnsi="Arial" w:cs="Arial"/>
                <w:b/>
                <w:bCs/>
              </w:rPr>
              <w:t xml:space="preserve">  </w:t>
            </w:r>
            <w:r>
              <w:rPr>
                <w:rFonts w:ascii="Arial" w:hAnsi="Arial" w:cs="Arial"/>
                <w:color w:val="595959" w:themeColor="text1" w:themeTint="A6"/>
              </w:rPr>
              <w:t xml:space="preserve"> </w:t>
            </w:r>
          </w:p>
          <w:p w14:paraId="52233494" w14:textId="77777777" w:rsidR="00B14201" w:rsidRDefault="0052628B">
            <w:pPr>
              <w:spacing w:after="120"/>
              <w:rPr>
                <w:rFonts w:ascii="Arial" w:hAnsi="Arial" w:cs="Arial"/>
              </w:rPr>
            </w:pPr>
            <w:r>
              <w:rPr>
                <w:rFonts w:ascii="Arial" w:hAnsi="Arial" w:cs="Arial"/>
                <w:i/>
              </w:rPr>
              <w:t xml:space="preserve"> </w:t>
            </w:r>
            <w:r>
              <w:rPr>
                <w:rFonts w:ascii="Arial" w:hAnsi="Arial" w:cs="Arial"/>
              </w:rPr>
              <w:t xml:space="preserve">Make full reference to </w:t>
            </w:r>
            <w:hyperlink r:id="rId30" w:history="1">
              <w:r>
                <w:rPr>
                  <w:rStyle w:val="Hyperlink"/>
                  <w:rFonts w:ascii="Arial" w:hAnsi="Arial" w:cs="Arial"/>
                </w:rPr>
                <w:t>AA</w:t>
              </w:r>
            </w:hyperlink>
            <w:r>
              <w:rPr>
                <w:rFonts w:ascii="Arial" w:hAnsi="Arial" w:cs="Arial"/>
              </w:rPr>
              <w:t xml:space="preserve"> 8 </w:t>
            </w:r>
            <w:r>
              <w:rPr>
                <w:rFonts w:ascii="Arial" w:hAnsi="Arial" w:cs="Arial"/>
                <w:i/>
              </w:rPr>
              <w:t xml:space="preserve">Processing applications for access arrangements </w:t>
            </w:r>
            <w:r>
              <w:rPr>
                <w:rFonts w:ascii="Arial" w:hAnsi="Arial" w:cs="Arial"/>
              </w:rPr>
              <w:t>and record your process that reflects the requirements.</w:t>
            </w:r>
            <w:r>
              <w:rPr>
                <w:rFonts w:ascii="Arial" w:hAnsi="Arial" w:cs="Arial"/>
                <w:b/>
                <w:bCs/>
              </w:rPr>
              <w:t xml:space="preserve">                      </w:t>
            </w:r>
            <w:r>
              <w:rPr>
                <w:rFonts w:ascii="Arial" w:hAnsi="Arial" w:cs="Arial"/>
                <w:i/>
              </w:rPr>
              <w:t xml:space="preserve"> </w:t>
            </w:r>
          </w:p>
        </w:tc>
      </w:tr>
    </w:tbl>
    <w:p w14:paraId="52233496" w14:textId="77777777" w:rsidR="00B14201" w:rsidRDefault="0052628B">
      <w:pPr>
        <w:pStyle w:val="Headinglevel2"/>
        <w:spacing w:before="240" w:after="120" w:line="276" w:lineRule="auto"/>
        <w:rPr>
          <w:rFonts w:cs="Arial"/>
        </w:rPr>
      </w:pPr>
      <w:bookmarkStart w:id="53" w:name="_Toc466921637"/>
      <w:bookmarkStart w:id="54" w:name="_Toc490083862"/>
      <w:bookmarkStart w:id="55" w:name="_Toc496088802"/>
      <w:bookmarkStart w:id="56" w:name="_Toc523473892"/>
      <w:bookmarkStart w:id="57" w:name="_Toc449469100"/>
      <w:r>
        <w:rPr>
          <w:rFonts w:cs="Arial"/>
        </w:rPr>
        <w:t>Centre-delegated access arrangements</w:t>
      </w:r>
      <w:bookmarkEnd w:id="53"/>
      <w:bookmarkEnd w:id="54"/>
      <w:bookmarkEnd w:id="55"/>
      <w:bookmarkEnd w:id="56"/>
    </w:p>
    <w:tbl>
      <w:tblPr>
        <w:tblStyle w:val="TableGrid"/>
        <w:tblW w:w="0" w:type="auto"/>
        <w:tblInd w:w="720" w:type="dxa"/>
        <w:tblLook w:val="04A0" w:firstRow="1" w:lastRow="0" w:firstColumn="1" w:lastColumn="0" w:noHBand="0" w:noVBand="1"/>
      </w:tblPr>
      <w:tblGrid>
        <w:gridCol w:w="8290"/>
      </w:tblGrid>
      <w:tr w:rsidR="00B14201" w14:paraId="52233498" w14:textId="77777777">
        <w:tc>
          <w:tcPr>
            <w:tcW w:w="9548" w:type="dxa"/>
          </w:tcPr>
          <w:p w14:paraId="52233497" w14:textId="77777777" w:rsidR="00B14201" w:rsidRDefault="0052628B">
            <w:pPr>
              <w:spacing w:before="120" w:after="120" w:line="276" w:lineRule="auto"/>
              <w:rPr>
                <w:rFonts w:ascii="Arial" w:hAnsi="Arial" w:cs="Arial"/>
                <w:highlight w:val="yellow"/>
              </w:rPr>
            </w:pPr>
            <w:r>
              <w:rPr>
                <w:rFonts w:ascii="Arial" w:hAnsi="Arial" w:cs="Arial"/>
                <w:szCs w:val="24"/>
              </w:rPr>
              <w:t>All centre delegated access arrangements are provided on the basis of relevant and applicable evidence being gathered through the departments and a clear indication that the arrangement provided represents the students normal way of working.</w:t>
            </w:r>
          </w:p>
        </w:tc>
      </w:tr>
    </w:tbl>
    <w:p w14:paraId="52233499" w14:textId="77777777" w:rsidR="00B14201" w:rsidRDefault="00B14201">
      <w:pPr>
        <w:pStyle w:val="Headinglevel1"/>
        <w:spacing w:before="240" w:line="276" w:lineRule="auto"/>
        <w:rPr>
          <w:rFonts w:cs="Arial"/>
        </w:rPr>
      </w:pPr>
      <w:bookmarkStart w:id="58" w:name="_Toc490083863"/>
      <w:bookmarkStart w:id="59" w:name="_Toc496088803"/>
      <w:bookmarkStart w:id="60" w:name="_Toc523473893"/>
      <w:bookmarkStart w:id="61" w:name="_Toc443593730"/>
      <w:bookmarkStart w:id="62" w:name="_Toc466921638"/>
    </w:p>
    <w:p w14:paraId="5223349A" w14:textId="77777777" w:rsidR="00B14201" w:rsidRDefault="00B14201">
      <w:pPr>
        <w:pStyle w:val="Headinglevel1"/>
        <w:spacing w:before="240" w:line="276" w:lineRule="auto"/>
        <w:rPr>
          <w:rFonts w:cs="Arial"/>
        </w:rPr>
      </w:pPr>
    </w:p>
    <w:p w14:paraId="5223349B" w14:textId="77777777" w:rsidR="00B14201" w:rsidRDefault="00B14201">
      <w:pPr>
        <w:pStyle w:val="Headinglevel1"/>
        <w:spacing w:before="240" w:line="276" w:lineRule="auto"/>
        <w:rPr>
          <w:rFonts w:cs="Arial"/>
        </w:rPr>
      </w:pPr>
    </w:p>
    <w:p w14:paraId="5223349C" w14:textId="77777777" w:rsidR="00B14201" w:rsidRDefault="0052628B">
      <w:pPr>
        <w:pStyle w:val="Headinglevel1"/>
        <w:spacing w:before="240" w:line="276" w:lineRule="auto"/>
        <w:rPr>
          <w:rFonts w:cs="Arial"/>
        </w:rPr>
      </w:pPr>
      <w:r>
        <w:rPr>
          <w:rFonts w:cs="Arial"/>
        </w:rPr>
        <w:t>Centre-specific criteria for particular access arrangements</w:t>
      </w:r>
      <w:bookmarkEnd w:id="58"/>
      <w:bookmarkEnd w:id="59"/>
      <w:bookmarkEnd w:id="60"/>
    </w:p>
    <w:p w14:paraId="5223349D" w14:textId="77777777" w:rsidR="00B14201" w:rsidRDefault="0052628B">
      <w:pPr>
        <w:pStyle w:val="Headinglevel2"/>
        <w:spacing w:before="240" w:after="120" w:line="276" w:lineRule="auto"/>
        <w:rPr>
          <w:rFonts w:cs="Arial"/>
        </w:rPr>
      </w:pPr>
      <w:bookmarkStart w:id="63" w:name="_Toc490083864"/>
      <w:bookmarkStart w:id="64" w:name="_Toc496088804"/>
      <w:bookmarkStart w:id="65" w:name="_Toc523473894"/>
      <w:r>
        <w:rPr>
          <w:rFonts w:cs="Arial"/>
        </w:rPr>
        <w:t>Word Processor Policy</w:t>
      </w:r>
      <w:bookmarkEnd w:id="61"/>
      <w:bookmarkEnd w:id="62"/>
      <w:bookmarkEnd w:id="63"/>
      <w:r>
        <w:rPr>
          <w:rFonts w:cs="Arial"/>
        </w:rPr>
        <w:t xml:space="preserve"> (Exams)</w:t>
      </w:r>
      <w:bookmarkEnd w:id="64"/>
      <w:bookmarkEnd w:id="65"/>
    </w:p>
    <w:p w14:paraId="5223349E" w14:textId="77777777" w:rsidR="00B14201" w:rsidRDefault="0052628B">
      <w:pPr>
        <w:spacing w:before="120" w:after="120" w:line="276" w:lineRule="auto"/>
        <w:jc w:val="both"/>
        <w:rPr>
          <w:rFonts w:ascii="Arial" w:hAnsi="Arial" w:cs="Arial"/>
        </w:rPr>
      </w:pPr>
      <w:r>
        <w:rPr>
          <w:rFonts w:ascii="Arial" w:hAnsi="Arial" w:cs="Arial"/>
        </w:rPr>
        <w:t xml:space="preserve">An exam candidate may be approved the use of a word processor where this is appropriate to the candidate’s needs and not simply because this is the candidate’s preferred way of working within the centre. </w:t>
      </w:r>
    </w:p>
    <w:tbl>
      <w:tblPr>
        <w:tblStyle w:val="TableGrid"/>
        <w:tblW w:w="0" w:type="auto"/>
        <w:tblInd w:w="675" w:type="dxa"/>
        <w:tblLook w:val="04A0" w:firstRow="1" w:lastRow="0" w:firstColumn="1" w:lastColumn="0" w:noHBand="0" w:noVBand="1"/>
      </w:tblPr>
      <w:tblGrid>
        <w:gridCol w:w="8335"/>
      </w:tblGrid>
      <w:tr w:rsidR="00B14201" w14:paraId="522334A1" w14:textId="77777777">
        <w:tc>
          <w:tcPr>
            <w:tcW w:w="9604" w:type="dxa"/>
          </w:tcPr>
          <w:p w14:paraId="5223349F" w14:textId="77777777" w:rsidR="00B14201" w:rsidRDefault="0052628B">
            <w:pPr>
              <w:spacing w:before="120" w:after="120" w:line="276" w:lineRule="auto"/>
              <w:rPr>
                <w:rFonts w:ascii="Arial" w:hAnsi="Arial" w:cs="Arial"/>
                <w:b/>
              </w:rPr>
            </w:pPr>
            <w:r>
              <w:rPr>
                <w:rFonts w:ascii="Arial" w:hAnsi="Arial" w:cs="Arial"/>
                <w:b/>
              </w:rPr>
              <w:t>See Appendix 2 of Exams Policy</w:t>
            </w:r>
          </w:p>
          <w:p w14:paraId="522334A0" w14:textId="77777777" w:rsidR="00B14201" w:rsidRDefault="0052628B">
            <w:pPr>
              <w:spacing w:before="120" w:after="120" w:line="276" w:lineRule="auto"/>
              <w:rPr>
                <w:rFonts w:ascii="Arial" w:hAnsi="Arial" w:cs="Arial"/>
                <w:bCs/>
              </w:rPr>
            </w:pPr>
            <w:r>
              <w:rPr>
                <w:rFonts w:ascii="Arial" w:hAnsi="Arial" w:cs="Arial"/>
                <w:b/>
                <w:bCs/>
                <w:color w:val="595959" w:themeColor="text1" w:themeTint="A6"/>
              </w:rPr>
              <w:t>A centre must have a policy on the use of word processors</w:t>
            </w:r>
            <w:r>
              <w:rPr>
                <w:rFonts w:ascii="Arial" w:hAnsi="Arial" w:cs="Arial"/>
                <w:color w:val="595959" w:themeColor="text1" w:themeTint="A6"/>
              </w:rPr>
              <w:t xml:space="preserve">… </w:t>
            </w:r>
            <w:r>
              <w:rPr>
                <w:rFonts w:ascii="Arial" w:hAnsi="Arial" w:cs="Arial"/>
                <w:b/>
                <w:bCs/>
                <w:color w:val="595959" w:themeColor="text1" w:themeTint="A6"/>
              </w:rPr>
              <w:t xml:space="preserve">A member of the centre’s senior leadership team must produce a statement for inspection purposes which details the criteria the centre uses to award and allocate word processors for examinations. </w:t>
            </w:r>
            <w:r>
              <w:rPr>
                <w:rFonts w:ascii="Arial" w:hAnsi="Arial" w:cs="Arial"/>
              </w:rPr>
              <w:t>(</w:t>
            </w:r>
            <w:hyperlink r:id="rId31" w:history="1">
              <w:r>
                <w:rPr>
                  <w:rStyle w:val="Hyperlink"/>
                  <w:rFonts w:ascii="Arial" w:hAnsi="Arial" w:cs="Arial"/>
                </w:rPr>
                <w:t>AA</w:t>
              </w:r>
            </w:hyperlink>
            <w:r>
              <w:rPr>
                <w:rFonts w:ascii="Arial" w:hAnsi="Arial" w:cs="Arial"/>
              </w:rPr>
              <w:t xml:space="preserve"> 5.8)</w:t>
            </w:r>
            <w:r>
              <w:rPr>
                <w:rFonts w:ascii="Arial" w:hAnsi="Arial" w:cs="Arial"/>
                <w:b/>
                <w:bCs/>
              </w:rPr>
              <w:t xml:space="preserve">  </w:t>
            </w:r>
            <w:r>
              <w:rPr>
                <w:rFonts w:ascii="Arial" w:hAnsi="Arial" w:cs="Arial"/>
                <w:color w:val="595959" w:themeColor="text1" w:themeTint="A6"/>
              </w:rPr>
              <w:t xml:space="preserve"> </w:t>
            </w:r>
          </w:p>
        </w:tc>
      </w:tr>
    </w:tbl>
    <w:p w14:paraId="522334A2" w14:textId="77777777" w:rsidR="00B14201" w:rsidRDefault="0052628B">
      <w:pPr>
        <w:pStyle w:val="Headinglevel2"/>
        <w:spacing w:before="240" w:after="120" w:line="276" w:lineRule="auto"/>
        <w:rPr>
          <w:rFonts w:cs="Arial"/>
          <w:sz w:val="20"/>
          <w:szCs w:val="20"/>
        </w:rPr>
      </w:pPr>
      <w:bookmarkStart w:id="66" w:name="_Toc443593731"/>
      <w:bookmarkStart w:id="67" w:name="_Toc466921639"/>
      <w:bookmarkStart w:id="68" w:name="_Toc490083865"/>
      <w:bookmarkStart w:id="69" w:name="_Toc496088805"/>
      <w:bookmarkStart w:id="70" w:name="_Toc523473895"/>
      <w:r>
        <w:rPr>
          <w:rFonts w:cs="Arial"/>
          <w:sz w:val="20"/>
          <w:szCs w:val="20"/>
        </w:rPr>
        <w:t>Separate invigilation within the centr</w:t>
      </w:r>
      <w:bookmarkEnd w:id="66"/>
      <w:bookmarkEnd w:id="67"/>
      <w:r>
        <w:rPr>
          <w:rFonts w:cs="Arial"/>
          <w:sz w:val="20"/>
          <w:szCs w:val="20"/>
        </w:rPr>
        <w:t>e</w:t>
      </w:r>
      <w:bookmarkEnd w:id="68"/>
      <w:bookmarkEnd w:id="69"/>
      <w:bookmarkEnd w:id="70"/>
    </w:p>
    <w:p w14:paraId="522334A3" w14:textId="5246006F" w:rsidR="00B14201" w:rsidRDefault="0052628B">
      <w:pPr>
        <w:spacing w:before="120" w:after="120" w:line="276" w:lineRule="auto"/>
        <w:jc w:val="both"/>
        <w:rPr>
          <w:rFonts w:ascii="Arial" w:hAnsi="Arial" w:cs="Arial"/>
          <w:sz w:val="20"/>
          <w:szCs w:val="20"/>
        </w:rPr>
      </w:pPr>
      <w:r>
        <w:rPr>
          <w:rFonts w:ascii="Arial" w:hAnsi="Arial" w:cs="Arial"/>
          <w:sz w:val="20"/>
          <w:szCs w:val="20"/>
        </w:rPr>
        <w:t xml:space="preserve">A decision where an exam candidate may be approved separate invigilation within the centre will be made by the SENCo. </w:t>
      </w:r>
    </w:p>
    <w:p w14:paraId="522334A4" w14:textId="77777777" w:rsidR="00B14201" w:rsidRDefault="0052628B">
      <w:pPr>
        <w:spacing w:before="120" w:after="120" w:line="276" w:lineRule="auto"/>
        <w:jc w:val="both"/>
        <w:rPr>
          <w:rFonts w:ascii="Arial" w:hAnsi="Arial" w:cs="Arial"/>
          <w:sz w:val="20"/>
          <w:szCs w:val="20"/>
        </w:rPr>
      </w:pPr>
      <w:r>
        <w:rPr>
          <w:rFonts w:ascii="Arial" w:hAnsi="Arial" w:cs="Arial"/>
          <w:sz w:val="20"/>
          <w:szCs w:val="20"/>
        </w:rPr>
        <w:t xml:space="preserve">The decision will be based on </w:t>
      </w:r>
    </w:p>
    <w:p w14:paraId="522334A5" w14:textId="77777777" w:rsidR="00B14201" w:rsidRDefault="0052628B">
      <w:pPr>
        <w:pStyle w:val="ListParagraph"/>
        <w:numPr>
          <w:ilvl w:val="0"/>
          <w:numId w:val="22"/>
        </w:numPr>
        <w:spacing w:before="120" w:after="120" w:line="276" w:lineRule="auto"/>
        <w:jc w:val="both"/>
        <w:rPr>
          <w:rFonts w:ascii="Arial" w:hAnsi="Arial" w:cs="Arial"/>
          <w:color w:val="000000"/>
        </w:rPr>
      </w:pPr>
      <w:r>
        <w:rPr>
          <w:rFonts w:ascii="Arial" w:hAnsi="Arial" w:cs="Arial"/>
          <w:color w:val="000000"/>
        </w:rPr>
        <w:t xml:space="preserve">whether the candidate has a substantial and long term impairment which has an adverse effect; and </w:t>
      </w:r>
    </w:p>
    <w:p w14:paraId="522334A6" w14:textId="77777777" w:rsidR="00B14201" w:rsidRDefault="0052628B">
      <w:pPr>
        <w:pStyle w:val="ListParagraph"/>
        <w:numPr>
          <w:ilvl w:val="0"/>
          <w:numId w:val="22"/>
        </w:numPr>
        <w:spacing w:before="120" w:after="120" w:line="276" w:lineRule="auto"/>
        <w:jc w:val="both"/>
        <w:rPr>
          <w:rFonts w:ascii="Arial" w:hAnsi="Arial" w:cs="Arial"/>
          <w:color w:val="000000"/>
        </w:rPr>
      </w:pPr>
      <w:r>
        <w:rPr>
          <w:rFonts w:ascii="Arial" w:hAnsi="Arial" w:cs="Arial"/>
          <w:color w:val="000000"/>
        </w:rPr>
        <w:t xml:space="preserve">the candidate’s normal way of working within the centre    </w:t>
      </w:r>
      <w:r>
        <w:rPr>
          <w:rFonts w:ascii="Arial" w:hAnsi="Arial" w:cs="Arial"/>
          <w:bCs/>
        </w:rPr>
        <w:t>[</w:t>
      </w:r>
      <w:hyperlink r:id="rId32" w:history="1">
        <w:r>
          <w:rPr>
            <w:rStyle w:val="Hyperlink"/>
            <w:rFonts w:ascii="Arial" w:hAnsi="Arial" w:cs="Arial"/>
          </w:rPr>
          <w:t>AA</w:t>
        </w:r>
      </w:hyperlink>
      <w:r>
        <w:rPr>
          <w:rStyle w:val="Hyperlink"/>
          <w:rFonts w:ascii="Arial" w:hAnsi="Arial" w:cs="Arial"/>
        </w:rPr>
        <w:t xml:space="preserve"> </w:t>
      </w:r>
      <w:r>
        <w:rPr>
          <w:rFonts w:ascii="Arial" w:hAnsi="Arial" w:cs="Arial"/>
        </w:rPr>
        <w:t>5.16]</w:t>
      </w:r>
    </w:p>
    <w:tbl>
      <w:tblPr>
        <w:tblStyle w:val="TableGrid"/>
        <w:tblW w:w="0" w:type="auto"/>
        <w:tblInd w:w="720" w:type="dxa"/>
        <w:tblLook w:val="04A0" w:firstRow="1" w:lastRow="0" w:firstColumn="1" w:lastColumn="0" w:noHBand="0" w:noVBand="1"/>
      </w:tblPr>
      <w:tblGrid>
        <w:gridCol w:w="8290"/>
      </w:tblGrid>
      <w:tr w:rsidR="00B14201" w14:paraId="522334AB" w14:textId="77777777">
        <w:tc>
          <w:tcPr>
            <w:tcW w:w="9548" w:type="dxa"/>
          </w:tcPr>
          <w:p w14:paraId="522334A7" w14:textId="77777777" w:rsidR="00B14201" w:rsidRDefault="0052628B">
            <w:pPr>
              <w:jc w:val="both"/>
              <w:rPr>
                <w:rFonts w:ascii="Arial" w:hAnsi="Arial" w:cs="Arial"/>
                <w:b/>
                <w:bCs/>
                <w:color w:val="595959" w:themeColor="text1" w:themeTint="A6"/>
              </w:rPr>
            </w:pPr>
            <w:r>
              <w:rPr>
                <w:rFonts w:ascii="Arial" w:hAnsi="Arial" w:cs="Arial"/>
              </w:rPr>
              <w:t>The centre will provide invigilation for all students where it is evident that being within a room with other students will impact upon their own or others attainment. Invigilators may be in the room in a one to one situation although a second invigilator will be in the very near vicinity if required.</w:t>
            </w:r>
            <w:r>
              <w:rPr>
                <w:rFonts w:ascii="Arial" w:hAnsi="Arial" w:cs="Arial"/>
                <w:b/>
                <w:bCs/>
                <w:color w:val="595959" w:themeColor="text1" w:themeTint="A6"/>
              </w:rPr>
              <w:t xml:space="preserve"> </w:t>
            </w:r>
          </w:p>
          <w:p w14:paraId="522334A8" w14:textId="77777777" w:rsidR="00B14201" w:rsidRDefault="00B14201">
            <w:pPr>
              <w:jc w:val="both"/>
              <w:rPr>
                <w:rFonts w:ascii="Arial" w:hAnsi="Arial" w:cs="Arial"/>
                <w:b/>
                <w:bCs/>
                <w:color w:val="595959" w:themeColor="text1" w:themeTint="A6"/>
              </w:rPr>
            </w:pPr>
          </w:p>
          <w:p w14:paraId="522334A9" w14:textId="77777777" w:rsidR="00B14201" w:rsidRDefault="0052628B">
            <w:pPr>
              <w:jc w:val="both"/>
              <w:rPr>
                <w:rFonts w:ascii="Arial" w:hAnsi="Arial" w:cs="Arial"/>
                <w:b/>
                <w:bCs/>
                <w:color w:val="595959" w:themeColor="text1" w:themeTint="A6"/>
              </w:rPr>
            </w:pPr>
            <w:r>
              <w:rPr>
                <w:rFonts w:ascii="Arial" w:hAnsi="Arial" w:cs="Arial"/>
                <w:b/>
                <w:bCs/>
                <w:color w:val="595959" w:themeColor="text1" w:themeTint="A6"/>
              </w:rPr>
              <w:t xml:space="preserve">For example, in the case of separate invigilation, the candidate’s difficulties are </w:t>
            </w:r>
            <w:r>
              <w:rPr>
                <w:rFonts w:ascii="Arial" w:hAnsi="Arial" w:cs="Arial"/>
                <w:b/>
                <w:bCs/>
                <w:color w:val="595959" w:themeColor="text1" w:themeTint="A6"/>
                <w:u w:val="single"/>
              </w:rPr>
              <w:t>established within the centre</w:t>
            </w:r>
            <w:r>
              <w:rPr>
                <w:rFonts w:ascii="Arial" w:hAnsi="Arial" w:cs="Arial"/>
                <w:b/>
                <w:bCs/>
                <w:color w:val="595959" w:themeColor="text1" w:themeTint="A6"/>
              </w:rPr>
              <w:t xml:space="preserve"> (see Chapter 4, paragraph 4.1.4) and known to a Form Tutor, a Head of Year, the SENCo or a senior member of staff with pastoral responsibilities. </w:t>
            </w:r>
          </w:p>
          <w:p w14:paraId="522334AA" w14:textId="77777777" w:rsidR="00B14201" w:rsidRDefault="0052628B">
            <w:pPr>
              <w:spacing w:before="120" w:after="120"/>
              <w:rPr>
                <w:rFonts w:ascii="Arial" w:hAnsi="Arial" w:cs="Arial"/>
                <w:color w:val="000000"/>
                <w:highlight w:val="cyan"/>
              </w:rPr>
            </w:pPr>
            <w:r>
              <w:rPr>
                <w:rFonts w:ascii="Arial" w:hAnsi="Arial" w:cs="Arial"/>
                <w:b/>
                <w:bCs/>
                <w:color w:val="595959" w:themeColor="text1" w:themeTint="A6"/>
              </w:rPr>
              <w:t xml:space="preserve">Separate invigilation reflects the candidate’s normal way of working in internal school tests and mock examinations as a consequence of a </w:t>
            </w:r>
            <w:r>
              <w:rPr>
                <w:rFonts w:ascii="Arial" w:hAnsi="Arial" w:cs="Arial"/>
                <w:b/>
                <w:bCs/>
                <w:color w:val="595959" w:themeColor="text1" w:themeTint="A6"/>
                <w:u w:val="single"/>
              </w:rPr>
              <w:t>long term</w:t>
            </w:r>
            <w:r>
              <w:rPr>
                <w:rFonts w:ascii="Arial" w:hAnsi="Arial" w:cs="Arial"/>
                <w:b/>
                <w:bCs/>
                <w:color w:val="595959" w:themeColor="text1" w:themeTint="A6"/>
              </w:rPr>
              <w:t xml:space="preserve"> medical condition or </w:t>
            </w:r>
            <w:r>
              <w:rPr>
                <w:rFonts w:ascii="Arial" w:hAnsi="Arial" w:cs="Arial"/>
                <w:b/>
                <w:bCs/>
                <w:color w:val="595959" w:themeColor="text1" w:themeTint="A6"/>
                <w:u w:val="single"/>
              </w:rPr>
              <w:t>long term</w:t>
            </w:r>
            <w:r>
              <w:rPr>
                <w:rFonts w:ascii="Arial" w:hAnsi="Arial" w:cs="Arial"/>
                <w:b/>
                <w:bCs/>
                <w:color w:val="595959" w:themeColor="text1" w:themeTint="A6"/>
              </w:rPr>
              <w:t xml:space="preserve"> social, mental or emotional needs. </w:t>
            </w:r>
            <w:r>
              <w:rPr>
                <w:rFonts w:ascii="Arial" w:hAnsi="Arial" w:cs="Arial"/>
              </w:rPr>
              <w:t>(</w:t>
            </w:r>
            <w:hyperlink r:id="rId33" w:history="1">
              <w:r>
                <w:rPr>
                  <w:rStyle w:val="Hyperlink"/>
                  <w:rFonts w:ascii="Arial" w:hAnsi="Arial" w:cs="Arial"/>
                </w:rPr>
                <w:t>AA</w:t>
              </w:r>
            </w:hyperlink>
            <w:r>
              <w:rPr>
                <w:rFonts w:ascii="Arial" w:hAnsi="Arial" w:cs="Arial"/>
              </w:rPr>
              <w:t xml:space="preserve"> 5.16)</w:t>
            </w:r>
            <w:r>
              <w:rPr>
                <w:rFonts w:ascii="Arial" w:hAnsi="Arial" w:cs="Arial"/>
                <w:b/>
                <w:bCs/>
              </w:rPr>
              <w:t xml:space="preserve">                              </w:t>
            </w:r>
            <w:r>
              <w:rPr>
                <w:rFonts w:ascii="Arial" w:hAnsi="Arial" w:cs="Arial"/>
                <w:color w:val="595959" w:themeColor="text1" w:themeTint="A6"/>
              </w:rPr>
              <w:t xml:space="preserve">                                                        </w:t>
            </w:r>
            <w:r>
              <w:rPr>
                <w:rFonts w:ascii="Arial" w:hAnsi="Arial" w:cs="Arial"/>
                <w:iCs/>
              </w:rPr>
              <w:t xml:space="preserve">                                     </w:t>
            </w:r>
          </w:p>
        </w:tc>
      </w:tr>
      <w:bookmarkEnd w:id="57"/>
    </w:tbl>
    <w:p w14:paraId="522334AC" w14:textId="77777777" w:rsidR="00B14201" w:rsidRDefault="00B14201">
      <w:pPr>
        <w:pStyle w:val="Headinglevel1"/>
        <w:spacing w:before="120" w:after="120" w:line="276" w:lineRule="auto"/>
        <w:rPr>
          <w:rFonts w:cs="Arial"/>
          <w:sz w:val="24"/>
          <w:szCs w:val="24"/>
          <w:highlight w:val="yellow"/>
        </w:rPr>
      </w:pPr>
    </w:p>
    <w:bookmarkEnd w:id="14"/>
    <w:bookmarkEnd w:id="15"/>
    <w:bookmarkEnd w:id="19"/>
    <w:bookmarkEnd w:id="20"/>
    <w:p w14:paraId="522334AD" w14:textId="77777777" w:rsidR="00B14201" w:rsidRDefault="00B14201">
      <w:pPr>
        <w:pStyle w:val="ListParagraph"/>
        <w:rPr>
          <w:rFonts w:ascii="Arial" w:hAnsi="Arial" w:cs="Arial"/>
          <w:color w:val="000000"/>
        </w:rPr>
      </w:pPr>
    </w:p>
    <w:bookmarkEnd w:id="0"/>
    <w:p w14:paraId="522334AE" w14:textId="77777777" w:rsidR="00B14201" w:rsidRDefault="00B14201">
      <w:pPr>
        <w:spacing w:before="240" w:after="240" w:line="276" w:lineRule="auto"/>
        <w:rPr>
          <w:rFonts w:ascii="Arial" w:hAnsi="Arial" w:cs="Arial"/>
          <w:b/>
          <w:noProof/>
          <w:color w:val="003399"/>
          <w:sz w:val="28"/>
          <w:szCs w:val="28"/>
        </w:rPr>
      </w:pPr>
    </w:p>
    <w:sectPr w:rsidR="00B14201">
      <w:headerReference w:type="default" r:id="rId34"/>
      <w:footerReference w:type="even" r:id="rId35"/>
      <w:footerReference w:type="default" r:id="rId36"/>
      <w:headerReference w:type="first" r:id="rId37"/>
      <w:footerReference w:type="first" r:id="rId3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C0B48" w14:textId="77777777" w:rsidR="00C14251" w:rsidRDefault="00C14251">
      <w:r>
        <w:separator/>
      </w:r>
    </w:p>
  </w:endnote>
  <w:endnote w:type="continuationSeparator" w:id="0">
    <w:p w14:paraId="2F15AB5D" w14:textId="77777777" w:rsidR="00C14251" w:rsidRDefault="00C14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kkurat-Bold">
    <w:panose1 w:val="02000503030000020004"/>
    <w:charset w:val="00"/>
    <w:family w:val="auto"/>
    <w:pitch w:val="variable"/>
    <w:sig w:usb0="800000AF" w:usb1="4000204A"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34B5" w14:textId="42F26B63" w:rsidR="00B14201" w:rsidRDefault="00204D37">
    <w:pPr>
      <w:pStyle w:val="Footer"/>
    </w:pPr>
    <w:r>
      <w:rPr>
        <w:noProof/>
      </w:rPr>
      <mc:AlternateContent>
        <mc:Choice Requires="wps">
          <w:drawing>
            <wp:anchor distT="0" distB="0" distL="0" distR="0" simplePos="0" relativeHeight="251667456" behindDoc="0" locked="0" layoutInCell="1" allowOverlap="1" wp14:anchorId="690E8882" wp14:editId="3AC49FE4">
              <wp:simplePos x="635" y="635"/>
              <wp:positionH relativeFrom="leftMargin">
                <wp:align>left</wp:align>
              </wp:positionH>
              <wp:positionV relativeFrom="paragraph">
                <wp:posOffset>635</wp:posOffset>
              </wp:positionV>
              <wp:extent cx="443865" cy="443865"/>
              <wp:effectExtent l="0" t="0" r="1270" b="10160"/>
              <wp:wrapSquare wrapText="bothSides"/>
              <wp:docPr id="3" name="Text Box 3" descr="Classification : 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C6A4AB" w14:textId="24A7FBD4" w:rsidR="00204D37" w:rsidRPr="00204D37" w:rsidRDefault="00204D37">
                          <w:pPr>
                            <w:rPr>
                              <w:rFonts w:ascii="Calibri" w:eastAsia="Calibri" w:hAnsi="Calibri" w:cs="Calibri"/>
                              <w:noProof/>
                              <w:color w:val="000000"/>
                              <w:sz w:val="20"/>
                              <w:szCs w:val="20"/>
                            </w:rPr>
                          </w:pPr>
                          <w:r w:rsidRPr="00204D37">
                            <w:rPr>
                              <w:rFonts w:ascii="Calibri" w:eastAsia="Calibri" w:hAnsi="Calibri" w:cs="Calibri"/>
                              <w:noProof/>
                              <w:color w:val="000000"/>
                              <w:sz w:val="20"/>
                              <w:szCs w:val="20"/>
                            </w:rPr>
                            <w:t>Classification : 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
          <w:pict>
            <v:shapetype w14:anchorId="690E8882" id="_x0000_t202" coordsize="21600,21600" o:spt="202" path="m,l,21600r21600,l21600,xe">
              <v:stroke joinstyle="miter"/>
              <v:path gradientshapeok="t" o:connecttype="rect"/>
            </v:shapetype>
            <v:shape id="Text Box 3" o:spid="_x0000_s1026" type="#_x0000_t202" alt="Classification : Official" style="position:absolute;margin-left:0;margin-top:.05pt;width:34.95pt;height:34.95pt;z-index:25166745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" filled="f" stroked="f">
              <v:fill o:detectmouseclick="t"/>
              <v:textbox style="mso-fit-shape-to-text:t" inset="5pt,0,0,0">
                <w:txbxContent>
                  <w:p w14:paraId="09C6A4AB" w14:textId="24A7FBD4" w:rsidR="00204D37" w:rsidRPr="00204D37" w:rsidRDefault="00204D37">
                    <w:pPr>
                      <w:rPr>
                        <w:rFonts w:ascii="Calibri" w:eastAsia="Calibri" w:hAnsi="Calibri" w:cs="Calibri"/>
                        <w:noProof/>
                        <w:color w:val="000000"/>
                        <w:sz w:val="20"/>
                        <w:szCs w:val="20"/>
                      </w:rPr>
                    </w:pPr>
                    <w:r w:rsidRPr="00204D37">
                      <w:rPr>
                        <w:rFonts w:ascii="Calibri" w:eastAsia="Calibri" w:hAnsi="Calibri" w:cs="Calibri"/>
                        <w:noProof/>
                        <w:color w:val="000000"/>
                        <w:sz w:val="20"/>
                        <w:szCs w:val="20"/>
                      </w:rPr>
                      <w:t>Classification : Official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34B6" w14:textId="6437E10F" w:rsidR="00B14201" w:rsidRDefault="00204D37">
    <w:pPr>
      <w:pStyle w:val="Footer"/>
      <w:jc w:val="right"/>
    </w:pPr>
    <w:r>
      <w:rPr>
        <w:noProof/>
      </w:rPr>
      <mc:AlternateContent>
        <mc:Choice Requires="wps">
          <w:drawing>
            <wp:anchor distT="0" distB="0" distL="0" distR="0" simplePos="0" relativeHeight="251668480" behindDoc="0" locked="0" layoutInCell="1" allowOverlap="1" wp14:anchorId="4EC1EABE" wp14:editId="67CE7598">
              <wp:simplePos x="635" y="635"/>
              <wp:positionH relativeFrom="leftMargin">
                <wp:align>left</wp:align>
              </wp:positionH>
              <wp:positionV relativeFrom="paragraph">
                <wp:posOffset>635</wp:posOffset>
              </wp:positionV>
              <wp:extent cx="443865" cy="443865"/>
              <wp:effectExtent l="0" t="0" r="1270" b="10160"/>
              <wp:wrapSquare wrapText="bothSides"/>
              <wp:docPr id="5" name="Text Box 5" descr="Classification : 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BFC266" w14:textId="5991C13C" w:rsidR="00204D37" w:rsidRPr="00204D37" w:rsidRDefault="00204D37">
                          <w:pPr>
                            <w:rPr>
                              <w:rFonts w:ascii="Calibri" w:eastAsia="Calibri" w:hAnsi="Calibri" w:cs="Calibri"/>
                              <w:noProof/>
                              <w:color w:val="000000"/>
                              <w:sz w:val="20"/>
                              <w:szCs w:val="20"/>
                            </w:rPr>
                          </w:pPr>
                          <w:r w:rsidRPr="00204D37">
                            <w:rPr>
                              <w:rFonts w:ascii="Calibri" w:eastAsia="Calibri" w:hAnsi="Calibri" w:cs="Calibri"/>
                              <w:noProof/>
                              <w:color w:val="000000"/>
                              <w:sz w:val="20"/>
                              <w:szCs w:val="20"/>
                            </w:rPr>
                            <w:t>Classification : 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
          <w:pict>
            <v:shapetype w14:anchorId="4EC1EABE" id="_x0000_t202" coordsize="21600,21600" o:spt="202" path="m,l,21600r21600,l21600,xe">
              <v:stroke joinstyle="miter"/>
              <v:path gradientshapeok="t" o:connecttype="rect"/>
            </v:shapetype>
            <v:shape id="Text Box 5" o:spid="_x0000_s1027" type="#_x0000_t202" alt="Classification : Official" style="position:absolute;left:0;text-align:left;margin-left:0;margin-top:.05pt;width:34.95pt;height:34.95pt;z-index:25166848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5xBw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" filled="f" stroked="f">
              <v:fill o:detectmouseclick="t"/>
              <v:textbox style="mso-fit-shape-to-text:t" inset="5pt,0,0,0">
                <w:txbxContent>
                  <w:p w14:paraId="6ABFC266" w14:textId="5991C13C" w:rsidR="00204D37" w:rsidRPr="00204D37" w:rsidRDefault="00204D37">
                    <w:pPr>
                      <w:rPr>
                        <w:rFonts w:ascii="Calibri" w:eastAsia="Calibri" w:hAnsi="Calibri" w:cs="Calibri"/>
                        <w:noProof/>
                        <w:color w:val="000000"/>
                        <w:sz w:val="20"/>
                        <w:szCs w:val="20"/>
                      </w:rPr>
                    </w:pPr>
                    <w:r w:rsidRPr="00204D37">
                      <w:rPr>
                        <w:rFonts w:ascii="Calibri" w:eastAsia="Calibri" w:hAnsi="Calibri" w:cs="Calibri"/>
                        <w:noProof/>
                        <w:color w:val="000000"/>
                        <w:sz w:val="20"/>
                        <w:szCs w:val="20"/>
                      </w:rPr>
                      <w:t>Classification : Official</w:t>
                    </w:r>
                  </w:p>
                </w:txbxContent>
              </v:textbox>
              <w10:wrap type="square" anchorx="margin"/>
            </v:shape>
          </w:pict>
        </mc:Fallback>
      </mc:AlternateContent>
    </w:r>
    <w:sdt>
      <w:sdtPr>
        <w:id w:val="913046073"/>
        <w:docPartObj>
          <w:docPartGallery w:val="Page Numbers (Bottom of Page)"/>
          <w:docPartUnique/>
        </w:docPartObj>
      </w:sdtPr>
      <w:sdtContent>
        <w:sdt>
          <w:sdtPr>
            <w:id w:val="-1769616900"/>
            <w:docPartObj>
              <w:docPartGallery w:val="Page Numbers (Top of Page)"/>
              <w:docPartUnique/>
            </w:docPartObj>
          </w:sdtPr>
          <w:sdtContent>
            <w:r w:rsidR="0052628B">
              <w:t xml:space="preserve">Page </w:t>
            </w:r>
            <w:r w:rsidR="0052628B">
              <w:rPr>
                <w:b/>
                <w:bCs/>
              </w:rPr>
              <w:fldChar w:fldCharType="begin"/>
            </w:r>
            <w:r w:rsidR="0052628B">
              <w:rPr>
                <w:b/>
                <w:bCs/>
              </w:rPr>
              <w:instrText xml:space="preserve"> PAGE </w:instrText>
            </w:r>
            <w:r w:rsidR="0052628B">
              <w:rPr>
                <w:b/>
                <w:bCs/>
              </w:rPr>
              <w:fldChar w:fldCharType="separate"/>
            </w:r>
            <w:r w:rsidR="0052628B">
              <w:rPr>
                <w:b/>
                <w:bCs/>
                <w:noProof/>
              </w:rPr>
              <w:t>2</w:t>
            </w:r>
            <w:r w:rsidR="0052628B">
              <w:rPr>
                <w:b/>
                <w:bCs/>
              </w:rPr>
              <w:fldChar w:fldCharType="end"/>
            </w:r>
            <w:r w:rsidR="0052628B">
              <w:t xml:space="preserve"> of </w:t>
            </w:r>
            <w:r w:rsidR="0052628B">
              <w:rPr>
                <w:b/>
                <w:bCs/>
              </w:rPr>
              <w:fldChar w:fldCharType="begin"/>
            </w:r>
            <w:r w:rsidR="0052628B">
              <w:rPr>
                <w:b/>
                <w:bCs/>
              </w:rPr>
              <w:instrText xml:space="preserve"> NUMPAGES  </w:instrText>
            </w:r>
            <w:r w:rsidR="0052628B">
              <w:rPr>
                <w:b/>
                <w:bCs/>
              </w:rPr>
              <w:fldChar w:fldCharType="separate"/>
            </w:r>
            <w:r w:rsidR="0052628B">
              <w:rPr>
                <w:b/>
                <w:bCs/>
                <w:noProof/>
              </w:rPr>
              <w:t>7</w:t>
            </w:r>
            <w:r w:rsidR="0052628B">
              <w:rPr>
                <w:b/>
                <w:bCs/>
              </w:rPr>
              <w:fldChar w:fldCharType="end"/>
            </w:r>
          </w:sdtContent>
        </w:sdt>
      </w:sdtContent>
    </w:sdt>
  </w:p>
  <w:p w14:paraId="522334B7" w14:textId="77777777" w:rsidR="00B14201" w:rsidRDefault="00B14201">
    <w:pPr>
      <w:pStyle w:val="Footer"/>
      <w:tabs>
        <w:tab w:val="clear" w:pos="4513"/>
        <w:tab w:val="clear" w:pos="9026"/>
        <w:tab w:val="left" w:pos="367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34B9" w14:textId="13317AB5" w:rsidR="00B14201" w:rsidRDefault="00204D37">
    <w:pPr>
      <w:pStyle w:val="Footer"/>
      <w:tabs>
        <w:tab w:val="clear" w:pos="4513"/>
        <w:tab w:val="center" w:pos="4510"/>
        <w:tab w:val="left" w:pos="6990"/>
      </w:tabs>
    </w:pPr>
    <w:r>
      <w:rPr>
        <w:noProof/>
      </w:rPr>
      <mc:AlternateContent>
        <mc:Choice Requires="wps">
          <w:drawing>
            <wp:anchor distT="0" distB="0" distL="0" distR="0" simplePos="0" relativeHeight="251666432" behindDoc="0" locked="0" layoutInCell="1" allowOverlap="1" wp14:anchorId="6C3D3B7B" wp14:editId="6F71BC61">
              <wp:simplePos x="0" y="0"/>
              <wp:positionH relativeFrom="leftMargin">
                <wp:align>left</wp:align>
              </wp:positionH>
              <wp:positionV relativeFrom="paragraph">
                <wp:posOffset>1252</wp:posOffset>
              </wp:positionV>
              <wp:extent cx="443865" cy="443865"/>
              <wp:effectExtent l="0" t="0" r="1270" b="10160"/>
              <wp:wrapSquare wrapText="bothSides"/>
              <wp:docPr id="1" name="Text Box 1" descr="Classification : 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A1F9D7" w14:textId="03FAB75A" w:rsidR="00204D37" w:rsidRPr="00204D37" w:rsidRDefault="00204D37">
                          <w:pPr>
                            <w:rPr>
                              <w:rFonts w:ascii="Calibri" w:eastAsia="Calibri" w:hAnsi="Calibri" w:cs="Calibri"/>
                              <w:noProof/>
                              <w:color w:val="000000"/>
                              <w:sz w:val="20"/>
                              <w:szCs w:val="20"/>
                            </w:rPr>
                          </w:pPr>
                          <w:r w:rsidRPr="00204D37">
                            <w:rPr>
                              <w:rFonts w:ascii="Calibri" w:eastAsia="Calibri" w:hAnsi="Calibri" w:cs="Calibri"/>
                              <w:noProof/>
                              <w:color w:val="000000"/>
                              <w:sz w:val="20"/>
                              <w:szCs w:val="20"/>
                            </w:rPr>
                            <w:t>Classification : 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xmlns="">
          <w:pict>
            <v:shapetype w14:anchorId="6C3D3B7B" id="_x0000_t202" coordsize="21600,21600" o:spt="202" path="m,l,21600r21600,l21600,xe">
              <v:stroke joinstyle="miter"/>
              <v:path gradientshapeok="t" o:connecttype="rect"/>
            </v:shapetype>
            <v:shape id="Text Box 1" o:spid="_x0000_s1028" type="#_x0000_t202" alt="Classification : Official" style="position:absolute;margin-left:0;margin-top:.1pt;width:34.95pt;height:34.95pt;z-index:25166643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" filled="f" stroked="f">
              <v:fill o:detectmouseclick="t"/>
              <v:textbox style="mso-fit-shape-to-text:t" inset="5pt,0,0,0">
                <w:txbxContent>
                  <w:p w14:paraId="7FA1F9D7" w14:textId="03FAB75A" w:rsidR="00204D37" w:rsidRPr="00204D37" w:rsidRDefault="00204D37">
                    <w:pPr>
                      <w:rPr>
                        <w:rFonts w:ascii="Calibri" w:eastAsia="Calibri" w:hAnsi="Calibri" w:cs="Calibri"/>
                        <w:noProof/>
                        <w:color w:val="000000"/>
                        <w:sz w:val="20"/>
                        <w:szCs w:val="20"/>
                      </w:rPr>
                    </w:pPr>
                    <w:r w:rsidRPr="00204D37">
                      <w:rPr>
                        <w:rFonts w:ascii="Calibri" w:eastAsia="Calibri" w:hAnsi="Calibri" w:cs="Calibri"/>
                        <w:noProof/>
                        <w:color w:val="000000"/>
                        <w:sz w:val="20"/>
                        <w:szCs w:val="20"/>
                      </w:rPr>
                      <w:t>Classification : Official</w:t>
                    </w:r>
                  </w:p>
                </w:txbxContent>
              </v:textbox>
              <w10:wrap type="square" anchorx="margin"/>
            </v:shape>
          </w:pict>
        </mc:Fallback>
      </mc:AlternateContent>
    </w:r>
    <w:r w:rsidR="0052628B">
      <w:tab/>
    </w:r>
    <w:r w:rsidR="0052628B">
      <w:tab/>
    </w:r>
  </w:p>
  <w:p w14:paraId="522334BA" w14:textId="77777777" w:rsidR="00B14201" w:rsidRDefault="0052628B">
    <w:pPr>
      <w:pStyle w:val="Footer"/>
      <w:tabs>
        <w:tab w:val="clear" w:pos="4513"/>
        <w:tab w:val="clear" w:pos="9026"/>
        <w:tab w:val="left" w:pos="573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18BA" w14:textId="77777777" w:rsidR="00C14251" w:rsidRDefault="00C14251">
      <w:r>
        <w:separator/>
      </w:r>
    </w:p>
  </w:footnote>
  <w:footnote w:type="continuationSeparator" w:id="0">
    <w:p w14:paraId="434D09F4" w14:textId="77777777" w:rsidR="00C14251" w:rsidRDefault="00C14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34B4" w14:textId="77777777" w:rsidR="00B14201" w:rsidRDefault="0052628B">
    <w:pPr>
      <w:pStyle w:val="Header"/>
    </w:pPr>
    <w:r>
      <w:rPr>
        <w:noProof/>
        <w:lang w:eastAsia="en-GB"/>
      </w:rPr>
      <w:drawing>
        <wp:anchor distT="0" distB="0" distL="114300" distR="114300" simplePos="0" relativeHeight="251661312" behindDoc="1" locked="0" layoutInCell="1" allowOverlap="1" wp14:anchorId="522334BB" wp14:editId="522334BC">
          <wp:simplePos x="0" y="0"/>
          <wp:positionH relativeFrom="column">
            <wp:posOffset>-1054100</wp:posOffset>
          </wp:positionH>
          <wp:positionV relativeFrom="paragraph">
            <wp:posOffset>-670235</wp:posOffset>
          </wp:positionV>
          <wp:extent cx="7759503" cy="10967395"/>
          <wp:effectExtent l="0" t="0" r="635" b="5715"/>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2.jpg"/>
                  <pic:cNvPicPr/>
                </pic:nvPicPr>
                <pic:blipFill>
                  <a:blip r:embed="rId1">
                    <a:extLst>
                      <a:ext uri="{28A0092B-C50C-407E-A947-70E740481C1C}">
                        <a14:useLocalDpi xmlns:a14="http://schemas.microsoft.com/office/drawing/2010/main" val="0"/>
                      </a:ext>
                    </a:extLst>
                  </a:blip>
                  <a:stretch>
                    <a:fillRect/>
                  </a:stretch>
                </pic:blipFill>
                <pic:spPr>
                  <a:xfrm>
                    <a:off x="0" y="0"/>
                    <a:ext cx="7767286" cy="1097839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34B8" w14:textId="111E7471" w:rsidR="00B14201" w:rsidRDefault="0052628B">
    <w:pPr>
      <w:pStyle w:val="Header"/>
      <w:tabs>
        <w:tab w:val="clear" w:pos="4513"/>
        <w:tab w:val="clear" w:pos="9026"/>
        <w:tab w:val="left" w:pos="2025"/>
      </w:tabs>
    </w:pPr>
    <w:r>
      <w:rPr>
        <w:noProof/>
        <w:lang w:eastAsia="en-GB"/>
      </w:rPr>
      <w:drawing>
        <wp:anchor distT="0" distB="0" distL="114300" distR="114300" simplePos="0" relativeHeight="251665408" behindDoc="1" locked="0" layoutInCell="1" allowOverlap="1" wp14:anchorId="522334BD" wp14:editId="2635FE8E">
          <wp:simplePos x="0" y="0"/>
          <wp:positionH relativeFrom="column">
            <wp:posOffset>-895350</wp:posOffset>
          </wp:positionH>
          <wp:positionV relativeFrom="paragraph">
            <wp:posOffset>-429260</wp:posOffset>
          </wp:positionV>
          <wp:extent cx="7557018" cy="10681200"/>
          <wp:effectExtent l="0" t="0" r="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s.jpg"/>
                  <pic:cNvPicPr/>
                </pic:nvPicPr>
                <pic:blipFill>
                  <a:blip r:embed="rId1">
                    <a:extLst>
                      <a:ext uri="{28A0092B-C50C-407E-A947-70E740481C1C}">
                        <a14:useLocalDpi xmlns:a14="http://schemas.microsoft.com/office/drawing/2010/main" val="0"/>
                      </a:ext>
                    </a:extLst>
                  </a:blip>
                  <a:stretch>
                    <a:fillRect/>
                  </a:stretch>
                </pic:blipFill>
                <pic:spPr>
                  <a:xfrm>
                    <a:off x="0" y="0"/>
                    <a:ext cx="7557018" cy="1068120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0959"/>
    <w:multiLevelType w:val="hybridMultilevel"/>
    <w:tmpl w:val="94F636D0"/>
    <w:lvl w:ilvl="0" w:tplc="B600B98C">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A0CD4"/>
    <w:multiLevelType w:val="multilevel"/>
    <w:tmpl w:val="34121A46"/>
    <w:lvl w:ilvl="0">
      <w:start w:val="1"/>
      <w:numFmt w:val="decimal"/>
      <w:lvlText w:val="%1."/>
      <w:lvlJc w:val="left"/>
      <w:pPr>
        <w:ind w:left="720" w:hanging="360"/>
      </w:pPr>
      <w:rPr>
        <w:rFonts w:cs="Times New Roman"/>
      </w:rPr>
    </w:lvl>
    <w:lvl w:ilvl="1">
      <w:start w:val="2"/>
      <w:numFmt w:val="decimal"/>
      <w:isLgl/>
      <w:lvlText w:val="%1.%2"/>
      <w:lvlJc w:val="left"/>
      <w:pPr>
        <w:ind w:left="1092" w:hanging="372"/>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3"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E0FCC"/>
    <w:multiLevelType w:val="hybridMultilevel"/>
    <w:tmpl w:val="27C65F8E"/>
    <w:lvl w:ilvl="0" w:tplc="418E3BC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15936E1"/>
    <w:multiLevelType w:val="hybridMultilevel"/>
    <w:tmpl w:val="3544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67EF1"/>
    <w:multiLevelType w:val="hybridMultilevel"/>
    <w:tmpl w:val="250232B2"/>
    <w:lvl w:ilvl="0" w:tplc="054CB8EE">
      <w:start w:val="1"/>
      <w:numFmt w:val="decimal"/>
      <w:lvlText w:val="%1."/>
      <w:lvlJc w:val="left"/>
      <w:pPr>
        <w:ind w:left="720" w:hanging="360"/>
      </w:pPr>
      <w:rPr>
        <w:rFonts w:ascii="Arial" w:hAnsi="Arial" w:hint="default"/>
        <w:b w:val="0"/>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681803"/>
    <w:multiLevelType w:val="hybridMultilevel"/>
    <w:tmpl w:val="EA72D998"/>
    <w:lvl w:ilvl="0" w:tplc="0809000D">
      <w:start w:val="1"/>
      <w:numFmt w:val="bullet"/>
      <w:lvlText w:val=""/>
      <w:lvlJc w:val="left"/>
      <w:pPr>
        <w:ind w:left="889" w:hanging="360"/>
      </w:pPr>
      <w:rPr>
        <w:rFonts w:ascii="Wingdings" w:hAnsi="Wingdings"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9" w15:restartNumberingAfterBreak="0">
    <w:nsid w:val="1ABD7446"/>
    <w:multiLevelType w:val="hybridMultilevel"/>
    <w:tmpl w:val="F856A5FC"/>
    <w:lvl w:ilvl="0" w:tplc="814E2376">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482EBD"/>
    <w:multiLevelType w:val="hybridMultilevel"/>
    <w:tmpl w:val="8EBE83AE"/>
    <w:lvl w:ilvl="0" w:tplc="0AC8F098">
      <w:start w:val="1"/>
      <w:numFmt w:val="bullet"/>
      <w:lvlText w:val=""/>
      <w:lvlJc w:val="left"/>
      <w:pPr>
        <w:ind w:left="720" w:hanging="360"/>
      </w:pPr>
      <w:rPr>
        <w:rFonts w:ascii="Wingdings 3" w:hAnsi="Wingdings 3" w:hint="default"/>
        <w:color w:val="003399"/>
      </w:rPr>
    </w:lvl>
    <w:lvl w:ilvl="1" w:tplc="536A778A">
      <w:start w:val="3"/>
      <w:numFmt w:val="bullet"/>
      <w:lvlText w:val="•"/>
      <w:lvlJc w:val="left"/>
      <w:pPr>
        <w:ind w:left="1440" w:hanging="360"/>
      </w:pPr>
      <w:rPr>
        <w:rFonts w:ascii="Rockwell" w:eastAsiaTheme="minorHAnsi" w:hAnsi="Rockwell"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A6E23"/>
    <w:multiLevelType w:val="hybridMultilevel"/>
    <w:tmpl w:val="374814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40473E"/>
    <w:multiLevelType w:val="hybridMultilevel"/>
    <w:tmpl w:val="CE24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2C3FC0"/>
    <w:multiLevelType w:val="hybridMultilevel"/>
    <w:tmpl w:val="F982A44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B01B3"/>
    <w:multiLevelType w:val="hybridMultilevel"/>
    <w:tmpl w:val="FB8839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63DEE"/>
    <w:multiLevelType w:val="hybridMultilevel"/>
    <w:tmpl w:val="21B693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35073F"/>
    <w:multiLevelType w:val="hybridMultilevel"/>
    <w:tmpl w:val="70201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66D0FC0"/>
    <w:multiLevelType w:val="hybridMultilevel"/>
    <w:tmpl w:val="ED821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F8618F7"/>
    <w:multiLevelType w:val="hybridMultilevel"/>
    <w:tmpl w:val="1A2EA7F0"/>
    <w:lvl w:ilvl="0" w:tplc="F8322650">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7975">
    <w:abstractNumId w:val="5"/>
  </w:num>
  <w:num w:numId="2" w16cid:durableId="1083335023">
    <w:abstractNumId w:val="14"/>
  </w:num>
  <w:num w:numId="3" w16cid:durableId="2051148852">
    <w:abstractNumId w:val="22"/>
  </w:num>
  <w:num w:numId="4" w16cid:durableId="371999946">
    <w:abstractNumId w:val="9"/>
  </w:num>
  <w:num w:numId="5" w16cid:durableId="2112191237">
    <w:abstractNumId w:val="2"/>
  </w:num>
  <w:num w:numId="6" w16cid:durableId="56101117">
    <w:abstractNumId w:val="8"/>
  </w:num>
  <w:num w:numId="7" w16cid:durableId="1885094081">
    <w:abstractNumId w:val="6"/>
  </w:num>
  <w:num w:numId="8" w16cid:durableId="256327104">
    <w:abstractNumId w:val="13"/>
  </w:num>
  <w:num w:numId="9" w16cid:durableId="1264537078">
    <w:abstractNumId w:val="16"/>
  </w:num>
  <w:num w:numId="10" w16cid:durableId="254094939">
    <w:abstractNumId w:val="12"/>
  </w:num>
  <w:num w:numId="11" w16cid:durableId="159928910">
    <w:abstractNumId w:val="7"/>
  </w:num>
  <w:num w:numId="12" w16cid:durableId="2079089282">
    <w:abstractNumId w:val="23"/>
  </w:num>
  <w:num w:numId="13" w16cid:durableId="1091581303">
    <w:abstractNumId w:val="20"/>
  </w:num>
  <w:num w:numId="14" w16cid:durableId="387459590">
    <w:abstractNumId w:val="21"/>
  </w:num>
  <w:num w:numId="15" w16cid:durableId="590044098">
    <w:abstractNumId w:val="4"/>
  </w:num>
  <w:num w:numId="16" w16cid:durableId="1933050274">
    <w:abstractNumId w:val="0"/>
  </w:num>
  <w:num w:numId="17" w16cid:durableId="643124311">
    <w:abstractNumId w:val="15"/>
  </w:num>
  <w:num w:numId="18" w16cid:durableId="1473139941">
    <w:abstractNumId w:val="10"/>
  </w:num>
  <w:num w:numId="19" w16cid:durableId="317347290">
    <w:abstractNumId w:val="3"/>
  </w:num>
  <w:num w:numId="20" w16cid:durableId="1590693398">
    <w:abstractNumId w:val="19"/>
  </w:num>
  <w:num w:numId="21" w16cid:durableId="1218398970">
    <w:abstractNumId w:val="17"/>
  </w:num>
  <w:num w:numId="22" w16cid:durableId="355884749">
    <w:abstractNumId w:val="11"/>
  </w:num>
  <w:num w:numId="23" w16cid:durableId="255409819">
    <w:abstractNumId w:val="18"/>
  </w:num>
  <w:num w:numId="24" w16cid:durableId="1186863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201"/>
    <w:rsid w:val="00007052"/>
    <w:rsid w:val="000A273D"/>
    <w:rsid w:val="000C27D2"/>
    <w:rsid w:val="00122BC1"/>
    <w:rsid w:val="00204D37"/>
    <w:rsid w:val="003667B1"/>
    <w:rsid w:val="00380617"/>
    <w:rsid w:val="003D3985"/>
    <w:rsid w:val="00437942"/>
    <w:rsid w:val="004B70A1"/>
    <w:rsid w:val="0052628B"/>
    <w:rsid w:val="00543072"/>
    <w:rsid w:val="005768CB"/>
    <w:rsid w:val="005906C9"/>
    <w:rsid w:val="00647F89"/>
    <w:rsid w:val="007410F8"/>
    <w:rsid w:val="00792FFD"/>
    <w:rsid w:val="007A4FD0"/>
    <w:rsid w:val="007C418C"/>
    <w:rsid w:val="00820411"/>
    <w:rsid w:val="008F7D20"/>
    <w:rsid w:val="00902177"/>
    <w:rsid w:val="009616A8"/>
    <w:rsid w:val="00966D7E"/>
    <w:rsid w:val="00A42576"/>
    <w:rsid w:val="00A45320"/>
    <w:rsid w:val="00B14201"/>
    <w:rsid w:val="00C14251"/>
    <w:rsid w:val="00C408C1"/>
    <w:rsid w:val="00C6135C"/>
    <w:rsid w:val="00D440F8"/>
    <w:rsid w:val="00D7350C"/>
    <w:rsid w:val="00E52704"/>
    <w:rsid w:val="00EE70CE"/>
    <w:rsid w:val="00F34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333F4"/>
  <w15:chartTrackingRefBased/>
  <w15:docId w15:val="{85D3A039-82CB-A542-BFAD-2029AC5A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80" w:line="276" w:lineRule="auto"/>
      <w:outlineLvl w:val="1"/>
    </w:pPr>
    <w:rPr>
      <w:rFonts w:ascii="Akkurat-Bold" w:eastAsia="Times New Roman" w:hAnsi="Akkurat-Bold" w:cs="Times New Roman"/>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customStyle="1" w:styleId="Catch22Contents">
    <w:name w:val="Catch22 Contents"/>
    <w:basedOn w:val="TOC1"/>
    <w:pPr>
      <w:tabs>
        <w:tab w:val="right" w:pos="8296"/>
      </w:tabs>
      <w:spacing w:before="240" w:after="120" w:line="480" w:lineRule="auto"/>
    </w:pPr>
    <w:rPr>
      <w:rFonts w:ascii="Arial" w:eastAsia="Times New Roman" w:hAnsi="Arial" w:cs="Arial"/>
      <w:noProof/>
      <w:sz w:val="22"/>
      <w:szCs w:val="22"/>
      <w:lang w:eastAsia="en-GB"/>
    </w:rPr>
  </w:style>
  <w:style w:type="paragraph" w:styleId="TOC1">
    <w:name w:val="toc 1"/>
    <w:basedOn w:val="Normal"/>
    <w:next w:val="Normal"/>
    <w:autoRedefine/>
    <w:uiPriority w:val="39"/>
    <w:semiHidden/>
    <w:unhideWhenUsed/>
    <w:pPr>
      <w:spacing w:after="100"/>
    </w:pPr>
  </w:style>
  <w:style w:type="character" w:customStyle="1" w:styleId="Heading2Char">
    <w:name w:val="Heading 2 Char"/>
    <w:basedOn w:val="DefaultParagraphFont"/>
    <w:link w:val="Heading2"/>
    <w:uiPriority w:val="9"/>
    <w:rPr>
      <w:rFonts w:ascii="Akkurat-Bold" w:eastAsia="Times New Roman" w:hAnsi="Akkurat-Bold" w:cs="Times New Roman"/>
      <w:b/>
      <w:bCs/>
      <w:sz w:val="28"/>
      <w:szCs w:val="26"/>
    </w:rPr>
  </w:style>
  <w:style w:type="paragraph" w:styleId="Quote">
    <w:name w:val="Quote"/>
    <w:aliases w:val="Body"/>
    <w:basedOn w:val="Normal"/>
    <w:next w:val="Normal"/>
    <w:link w:val="QuoteChar"/>
    <w:uiPriority w:val="29"/>
    <w:qFormat/>
    <w:pPr>
      <w:spacing w:after="200" w:line="276" w:lineRule="auto"/>
    </w:pPr>
    <w:rPr>
      <w:rFonts w:ascii="Akkurat-Light" w:eastAsia="Calibri" w:hAnsi="Akkurat-Light" w:cs="Times New Roman"/>
      <w:iCs/>
      <w:color w:val="000000"/>
      <w:sz w:val="22"/>
      <w:szCs w:val="22"/>
    </w:rPr>
  </w:style>
  <w:style w:type="character" w:customStyle="1" w:styleId="QuoteChar">
    <w:name w:val="Quote Char"/>
    <w:aliases w:val="Body Char"/>
    <w:basedOn w:val="DefaultParagraphFont"/>
    <w:link w:val="Quote"/>
    <w:uiPriority w:val="29"/>
    <w:rPr>
      <w:rFonts w:ascii="Akkurat-Light" w:eastAsia="Calibri" w:hAnsi="Akkurat-Light" w:cs="Times New Roman"/>
      <w:iCs/>
      <w:color w:val="000000"/>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563C1" w:themeColor="hyperlink"/>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n-GB"/>
    </w:rPr>
  </w:style>
  <w:style w:type="paragraph" w:customStyle="1" w:styleId="Headinglevel1">
    <w:name w:val="Heading level 1"/>
    <w:basedOn w:val="Normal"/>
    <w:qFormat/>
    <w:pPr>
      <w:spacing w:after="240"/>
      <w:outlineLvl w:val="0"/>
    </w:pPr>
    <w:rPr>
      <w:rFonts w:ascii="Arial" w:eastAsia="Times New Roman" w:hAnsi="Arial" w:cs="Times New Roman"/>
      <w:b/>
      <w:color w:val="003399"/>
      <w:sz w:val="28"/>
      <w:szCs w:val="28"/>
      <w:lang w:eastAsia="en-GB"/>
    </w:rPr>
  </w:style>
  <w:style w:type="paragraph" w:customStyle="1" w:styleId="Headinglevel2">
    <w:name w:val="Heading level 2"/>
    <w:basedOn w:val="Normal"/>
    <w:qFormat/>
    <w:pPr>
      <w:keepNext/>
      <w:spacing w:before="480" w:after="240"/>
      <w:outlineLvl w:val="1"/>
    </w:pPr>
    <w:rPr>
      <w:rFonts w:ascii="Arial" w:eastAsia="Times New Roman" w:hAnsi="Arial" w:cs="Times New Roman"/>
      <w:b/>
      <w:color w:val="FF3300"/>
      <w:lang w:eastAsia="en-GB"/>
    </w:rPr>
  </w:style>
  <w:style w:type="paragraph" w:styleId="TOC2">
    <w:name w:val="toc 2"/>
    <w:basedOn w:val="Normal"/>
    <w:next w:val="Normal"/>
    <w:autoRedefine/>
    <w:uiPriority w:val="39"/>
    <w:semiHidden/>
    <w:unhideWhenUsed/>
    <w:pPr>
      <w:spacing w:after="100"/>
      <w:ind w:left="240"/>
    </w:pPr>
  </w:style>
  <w:style w:type="character" w:styleId="FollowedHyperlink">
    <w:name w:val="FollowedHyperlink"/>
    <w:basedOn w:val="DefaultParagraphFont"/>
    <w:uiPriority w:val="99"/>
    <w:semiHidden/>
    <w:unhideWhenUsed/>
    <w:rsid w:val="004379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831456">
      <w:bodyDiv w:val="1"/>
      <w:marLeft w:val="0"/>
      <w:marRight w:val="0"/>
      <w:marTop w:val="0"/>
      <w:marBottom w:val="0"/>
      <w:divBdr>
        <w:top w:val="none" w:sz="0" w:space="0" w:color="auto"/>
        <w:left w:val="none" w:sz="0" w:space="0" w:color="auto"/>
        <w:bottom w:val="none" w:sz="0" w:space="0" w:color="auto"/>
        <w:right w:val="none" w:sz="0" w:space="0" w:color="auto"/>
      </w:divBdr>
    </w:div>
    <w:div w:id="1855151267">
      <w:bodyDiv w:val="1"/>
      <w:marLeft w:val="0"/>
      <w:marRight w:val="0"/>
      <w:marTop w:val="0"/>
      <w:marBottom w:val="0"/>
      <w:divBdr>
        <w:top w:val="none" w:sz="0" w:space="0" w:color="auto"/>
        <w:left w:val="none" w:sz="0" w:space="0" w:color="auto"/>
        <w:bottom w:val="none" w:sz="0" w:space="0" w:color="auto"/>
        <w:right w:val="none" w:sz="0" w:space="0" w:color="auto"/>
      </w:divBdr>
      <w:divsChild>
        <w:div w:id="1864586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hyperlink" Target="http://www.jcq.org.uk/exams-office/access-arrangements-and-special-consideration/regulations-and-guidance" TargetMode="External"/><Relationship Id="rId39" Type="http://schemas.openxmlformats.org/officeDocument/2006/relationships/fontTable" Target="fontTable.xml"/><Relationship Id="rId21" Type="http://schemas.openxmlformats.org/officeDocument/2006/relationships/hyperlink" Target="http://www.jcq.org.uk/exams-office/access-arrangements-and-special-consideration/regulations-and-guidance"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general-regulations" TargetMode="External"/><Relationship Id="rId25" Type="http://schemas.openxmlformats.org/officeDocument/2006/relationships/hyperlink" Target="http://www.jcq.org.uk/exams-office/general-regulations" TargetMode="External"/><Relationship Id="rId33" Type="http://schemas.openxmlformats.org/officeDocument/2006/relationships/hyperlink" Target="http://www.jcq.org.uk/exams-office/access-arrangements-and-special-consideration/regulations-and-guidance"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general-regulations" TargetMode="External"/><Relationship Id="rId29" Type="http://schemas.openxmlformats.org/officeDocument/2006/relationships/hyperlink" Target="http://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cq.org.uk/exams-office/access-arrangements-and-special-consideration/regulations-and-guidance" TargetMode="External"/><Relationship Id="rId24" Type="http://schemas.openxmlformats.org/officeDocument/2006/relationships/hyperlink" Target="http://www.jcq.org.uk/exams-office/access-arrangements-and-special-consideration/regulations-and-guidance" TargetMode="External"/><Relationship Id="rId32" Type="http://schemas.openxmlformats.org/officeDocument/2006/relationships/hyperlink" Target="http://www.jcq.org.uk/exams-office/access-arrangements-and-special-consideration"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www.jcq.org.uk/exams-office/general-regulations" TargetMode="External"/><Relationship Id="rId28" Type="http://schemas.openxmlformats.org/officeDocument/2006/relationships/hyperlink" Target="http://www.jcq.org.uk/exams-office/access-arrangements-and-special-consideration/regulations-and-guidance"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jcq.org.uk/exams-office/access-arrangements-and-special-consideration/regulations-and-guidance" TargetMode="External"/><Relationship Id="rId31" Type="http://schemas.openxmlformats.org/officeDocument/2006/relationships/hyperlink" Target="http://www.jcq.org.uk/exams-office/access-arrangements-and-special-consideration/regulations-and-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access-arrangements-and-special-consideration/regulations-and-guidance" TargetMode="External"/><Relationship Id="rId27" Type="http://schemas.openxmlformats.org/officeDocument/2006/relationships/hyperlink" Target="http://www.jcq.org.uk/exams-office/access-arrangements-and-special-consideration/regulations-and-guidance" TargetMode="External"/><Relationship Id="rId30" Type="http://schemas.openxmlformats.org/officeDocument/2006/relationships/hyperlink" Target="http://www.jcq.org.uk/exams-office/access-arrangements-and-special-consideration/regulations-and-guidance"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AF8BAD702D874C986B1B4D98C265E5" ma:contentTypeVersion="16" ma:contentTypeDescription="Create a new document." ma:contentTypeScope="" ma:versionID="89248d929c6dc991cc25e26b55479775">
  <xsd:schema xmlns:xsd="http://www.w3.org/2001/XMLSchema" xmlns:xs="http://www.w3.org/2001/XMLSchema" xmlns:p="http://schemas.microsoft.com/office/2006/metadata/properties" xmlns:ns2="20440681-3a5d-4923-bbbe-fbd06d4f10fc" xmlns:ns3="8a2954ae-03b6-4392-813d-862f7caec390" targetNamespace="http://schemas.microsoft.com/office/2006/metadata/properties" ma:root="true" ma:fieldsID="3d96d4ed1bb83f2a85750c309ad6a868" ns2:_="" ns3:_="">
    <xsd:import namespace="20440681-3a5d-4923-bbbe-fbd06d4f10fc"/>
    <xsd:import namespace="8a2954ae-03b6-4392-813d-862f7caec3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40681-3a5d-4923-bbbe-fbd06d4f1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4fa03e4-426a-41c6-a776-1cd48614a9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2954ae-03b6-4392-813d-862f7caec3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7158e39-119c-4517-8a5d-ecd680efaf55}" ma:internalName="TaxCatchAll" ma:showField="CatchAllData" ma:web="8a2954ae-03b6-4392-813d-862f7caec3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a2954ae-03b6-4392-813d-862f7caec390">
      <UserInfo>
        <DisplayName>Stuart Rutter</DisplayName>
        <AccountId>30</AccountId>
        <AccountType/>
      </UserInfo>
    </SharedWithUsers>
    <TaxCatchAll xmlns="8a2954ae-03b6-4392-813d-862f7caec390" xsi:nil="true"/>
    <lcf76f155ced4ddcb4097134ff3c332f xmlns="20440681-3a5d-4923-bbbe-fbd06d4f10f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3E086-8EB3-47D0-9916-2B140E10C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40681-3a5d-4923-bbbe-fbd06d4f10fc"/>
    <ds:schemaRef ds:uri="8a2954ae-03b6-4392-813d-862f7caec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8DD5B2-FF30-4E2F-B4E7-4E9E6650778C}">
  <ds:schemaRefs>
    <ds:schemaRef ds:uri="http://schemas.microsoft.com/office/2006/metadata/properties"/>
    <ds:schemaRef ds:uri="http://schemas.microsoft.com/office/infopath/2007/PartnerControls"/>
    <ds:schemaRef ds:uri="8a2954ae-03b6-4392-813d-862f7caec390"/>
    <ds:schemaRef ds:uri="20440681-3a5d-4923-bbbe-fbd06d4f10fc"/>
  </ds:schemaRefs>
</ds:datastoreItem>
</file>

<file path=customXml/itemProps3.xml><?xml version="1.0" encoding="utf-8"?>
<ds:datastoreItem xmlns:ds="http://schemas.openxmlformats.org/officeDocument/2006/customXml" ds:itemID="{089BB0E8-1423-44C6-96CC-E720494906C7}">
  <ds:schemaRefs>
    <ds:schemaRef ds:uri="http://schemas.microsoft.com/sharepoint/v3/contenttype/forms"/>
  </ds:schemaRefs>
</ds:datastoreItem>
</file>

<file path=customXml/itemProps4.xml><?xml version="1.0" encoding="utf-8"?>
<ds:datastoreItem xmlns:ds="http://schemas.openxmlformats.org/officeDocument/2006/customXml" ds:itemID="{06816710-2143-41B0-8832-A66F6EF9A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Jones</dc:creator>
  <cp:keywords/>
  <dc:description/>
  <cp:lastModifiedBy>Laura Brockway</cp:lastModifiedBy>
  <cp:revision>13</cp:revision>
  <cp:lastPrinted>2020-02-25T11:25:00Z</cp:lastPrinted>
  <dcterms:created xsi:type="dcterms:W3CDTF">2025-07-17T09:01:00Z</dcterms:created>
  <dcterms:modified xsi:type="dcterms:W3CDTF">2026-05-05T10:25:00Z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0x010100EFAF8BAD702D874C986B1B4D98C265E5</vt:lpwstr>
  </property>
  <property fmtid="{D5CDD505-2E9C-101B-9397-08002B2CF9AE}" pid="3" name="ClassificationContentMarkingFooterShapeIds">
    <vt:lpwstr>1,3,5</vt:lpwstr>
  </property>
  <property fmtid="{D5CDD505-2E9C-101B-9397-08002B2CF9AE}" pid="4" name="ClassificationContentMarkingFooterFontProps">
    <vt:lpwstr>#000000,10,Calibri</vt:lpwstr>
  </property>
  <property fmtid="{D5CDD505-2E9C-101B-9397-08002B2CF9AE}" pid="5" name="ClassificationContentMarkingFooterText">
    <vt:lpwstr>Classification : Official</vt:lpwstr>
  </property>
  <property fmtid="{D5CDD505-2E9C-101B-9397-08002B2CF9AE}" pid="6" name="MSIP_Label_47e51286-47c4-4123-8966-22562bada071_Enabled">
    <vt:lpwstr>true</vt:lpwstr>
  </property>
  <property fmtid="{D5CDD505-2E9C-101B-9397-08002B2CF9AE}" pid="7" name="MSIP_Label_47e51286-47c4-4123-8966-22562bada071_SetDate">
    <vt:lpwstr>2022-09-16T09:40:44Z</vt:lpwstr>
  </property>
  <property fmtid="{D5CDD505-2E9C-101B-9397-08002B2CF9AE}" pid="8" name="MSIP_Label_47e51286-47c4-4123-8966-22562bada071_Method">
    <vt:lpwstr>Privileged</vt:lpwstr>
  </property>
  <property fmtid="{D5CDD505-2E9C-101B-9397-08002B2CF9AE}" pid="9" name="MSIP_Label_47e51286-47c4-4123-8966-22562bada071_Name">
    <vt:lpwstr>Internal</vt:lpwstr>
  </property>
  <property fmtid="{D5CDD505-2E9C-101B-9397-08002B2CF9AE}" pid="10" name="MSIP_Label_47e51286-47c4-4123-8966-22562bada071_SiteId">
    <vt:lpwstr>f1ded84e-ebd3-46b2-98f8-658f4ca1209c</vt:lpwstr>
  </property>
  <property fmtid="{D5CDD505-2E9C-101B-9397-08002B2CF9AE}" pid="11" name="MSIP_Label_47e51286-47c4-4123-8966-22562bada071_ActionId">
    <vt:lpwstr>07546453-d8a0-4370-a184-c0a90c6b55bb</vt:lpwstr>
  </property>
  <property fmtid="{D5CDD505-2E9C-101B-9397-08002B2CF9AE}" pid="12" name="MSIP_Label_47e51286-47c4-4123-8966-22562bada071_ContentBits">
    <vt:lpwstr>2</vt:lpwstr>
  </property>
</Properties>
</file>